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bCs/>
          <w:sz w:val="48"/>
          <w:szCs w:val="48"/>
          <w:highlight w:val="none"/>
        </w:rPr>
      </w:pPr>
    </w:p>
    <w:p>
      <w:pPr>
        <w:jc w:val="center"/>
        <w:rPr>
          <w:rFonts w:hint="eastAsia" w:ascii="宋体" w:hAnsi="宋体" w:eastAsia="宋体"/>
          <w:b/>
          <w:sz w:val="48"/>
          <w:szCs w:val="48"/>
          <w:highlight w:val="none"/>
          <w:lang w:eastAsia="zh-CN"/>
        </w:rPr>
      </w:pPr>
      <w:r>
        <w:rPr>
          <w:rFonts w:hint="eastAsia" w:ascii="宋体" w:hAnsi="宋体" w:cs="宋体"/>
          <w:b/>
          <w:bCs/>
          <w:sz w:val="48"/>
          <w:szCs w:val="48"/>
          <w:highlight w:val="none"/>
          <w:lang w:eastAsia="zh-CN"/>
        </w:rPr>
        <w:t>郊区人民法院专网与互联网安全建设项目</w:t>
      </w:r>
    </w:p>
    <w:p>
      <w:pPr>
        <w:ind w:left="135" w:right="84" w:rightChars="40" w:hanging="134" w:hangingChars="16"/>
        <w:jc w:val="center"/>
        <w:rPr>
          <w:rFonts w:ascii="宋体" w:hAnsi="宋体"/>
          <w:b/>
          <w:sz w:val="84"/>
          <w:szCs w:val="84"/>
          <w:highlight w:val="none"/>
        </w:rPr>
      </w:pPr>
    </w:p>
    <w:p>
      <w:pPr>
        <w:pStyle w:val="2"/>
        <w:ind w:firstLine="420"/>
        <w:rPr>
          <w:rFonts w:hint="default"/>
          <w:highlight w:val="none"/>
        </w:rPr>
      </w:pPr>
    </w:p>
    <w:p>
      <w:pPr>
        <w:ind w:left="84" w:right="84" w:rightChars="40" w:hanging="83" w:hangingChars="16"/>
        <w:jc w:val="center"/>
        <w:rPr>
          <w:rFonts w:ascii="宋体" w:hAnsi="宋体"/>
          <w:sz w:val="84"/>
          <w:szCs w:val="84"/>
          <w:highlight w:val="none"/>
        </w:rPr>
      </w:pPr>
      <w:r>
        <w:rPr>
          <w:rFonts w:hint="eastAsia" w:ascii="宋体" w:hAnsi="宋体"/>
          <w:b/>
          <w:sz w:val="52"/>
          <w:szCs w:val="52"/>
          <w:highlight w:val="none"/>
        </w:rPr>
        <w:t>竞争性谈判文件</w:t>
      </w:r>
    </w:p>
    <w:p>
      <w:pPr>
        <w:jc w:val="center"/>
        <w:rPr>
          <w:rFonts w:ascii="宋体" w:hAnsi="宋体"/>
          <w:b/>
          <w:sz w:val="30"/>
          <w:szCs w:val="30"/>
          <w:highlight w:val="none"/>
        </w:rPr>
      </w:pPr>
    </w:p>
    <w:p>
      <w:pPr>
        <w:jc w:val="center"/>
        <w:rPr>
          <w:rFonts w:hint="eastAsia" w:ascii="宋体" w:hAnsi="宋体" w:eastAsia="宋体"/>
          <w:b/>
          <w:sz w:val="36"/>
          <w:szCs w:val="36"/>
          <w:highlight w:val="none"/>
          <w:lang w:eastAsia="zh-CN"/>
        </w:rPr>
      </w:pPr>
      <w:r>
        <w:rPr>
          <w:rFonts w:hint="eastAsia" w:ascii="宋体" w:hAnsi="宋体"/>
          <w:b/>
          <w:sz w:val="36"/>
          <w:szCs w:val="36"/>
          <w:highlight w:val="none"/>
        </w:rPr>
        <w:t>项目编号：</w:t>
      </w:r>
      <w:r>
        <w:rPr>
          <w:rFonts w:hint="eastAsia" w:ascii="宋体" w:hAnsi="宋体"/>
          <w:b/>
          <w:sz w:val="36"/>
          <w:szCs w:val="36"/>
          <w:highlight w:val="none"/>
          <w:lang w:eastAsia="zh-CN"/>
        </w:rPr>
        <w:t>JSZB2024019</w:t>
      </w:r>
    </w:p>
    <w:p>
      <w:pPr>
        <w:pStyle w:val="6"/>
        <w:ind w:firstLine="640"/>
        <w:rPr>
          <w:highlight w:val="none"/>
        </w:rPr>
      </w:pPr>
    </w:p>
    <w:p>
      <w:pPr>
        <w:jc w:val="center"/>
        <w:rPr>
          <w:rFonts w:ascii="宋体" w:hAnsi="宋体"/>
          <w:b/>
          <w:sz w:val="30"/>
          <w:szCs w:val="30"/>
          <w:highlight w:val="none"/>
        </w:rPr>
      </w:pPr>
    </w:p>
    <w:p>
      <w:pPr>
        <w:pStyle w:val="6"/>
        <w:ind w:firstLine="602"/>
        <w:rPr>
          <w:rFonts w:ascii="宋体" w:hAnsi="宋体"/>
          <w:b/>
          <w:sz w:val="30"/>
          <w:szCs w:val="30"/>
          <w:highlight w:val="none"/>
        </w:rPr>
      </w:pPr>
    </w:p>
    <w:p>
      <w:pPr>
        <w:pStyle w:val="6"/>
        <w:ind w:firstLine="602"/>
        <w:rPr>
          <w:rFonts w:ascii="宋体" w:hAnsi="宋体"/>
          <w:b/>
          <w:sz w:val="30"/>
          <w:szCs w:val="30"/>
          <w:highlight w:val="none"/>
        </w:rPr>
      </w:pPr>
    </w:p>
    <w:p>
      <w:pPr>
        <w:rPr>
          <w:rFonts w:ascii="宋体" w:hAnsi="宋体"/>
          <w:b/>
          <w:sz w:val="30"/>
          <w:szCs w:val="30"/>
          <w:highlight w:val="none"/>
        </w:rPr>
      </w:pPr>
    </w:p>
    <w:p>
      <w:pPr>
        <w:pStyle w:val="12"/>
        <w:wordWrap w:val="0"/>
        <w:jc w:val="center"/>
        <w:rPr>
          <w:rFonts w:hint="eastAsia" w:hAnsi="宋体" w:eastAsia="宋体" w:cs="宋体"/>
          <w:b/>
          <w:szCs w:val="28"/>
          <w:highlight w:val="none"/>
        </w:rPr>
      </w:pPr>
    </w:p>
    <w:tbl>
      <w:tblPr>
        <w:tblStyle w:val="20"/>
        <w:tblW w:w="10039" w:type="dxa"/>
        <w:jc w:val="center"/>
        <w:tblLayout w:type="fixed"/>
        <w:tblCellMar>
          <w:top w:w="0" w:type="dxa"/>
          <w:left w:w="108" w:type="dxa"/>
          <w:bottom w:w="0" w:type="dxa"/>
          <w:right w:w="108" w:type="dxa"/>
        </w:tblCellMar>
      </w:tblPr>
      <w:tblGrid>
        <w:gridCol w:w="2883"/>
        <w:gridCol w:w="236"/>
        <w:gridCol w:w="6920"/>
      </w:tblGrid>
      <w:tr>
        <w:tblPrEx>
          <w:tblCellMar>
            <w:top w:w="0" w:type="dxa"/>
            <w:left w:w="108" w:type="dxa"/>
            <w:bottom w:w="0" w:type="dxa"/>
            <w:right w:w="108" w:type="dxa"/>
          </w:tblCellMar>
        </w:tblPrEx>
        <w:trPr>
          <w:trHeight w:val="1063" w:hRule="atLeast"/>
          <w:jc w:val="center"/>
        </w:trPr>
        <w:tc>
          <w:tcPr>
            <w:tcW w:w="2883" w:type="dxa"/>
            <w:noWrap w:val="0"/>
            <w:vAlign w:val="center"/>
          </w:tcPr>
          <w:p>
            <w:pPr>
              <w:pStyle w:val="12"/>
              <w:wordWrap w:val="0"/>
              <w:jc w:val="distribute"/>
              <w:rPr>
                <w:rFonts w:hint="eastAsia" w:hAnsi="宋体" w:eastAsia="宋体" w:cs="宋体"/>
                <w:b/>
                <w:sz w:val="28"/>
                <w:szCs w:val="44"/>
                <w:highlight w:val="none"/>
              </w:rPr>
            </w:pPr>
            <w:r>
              <w:rPr>
                <w:rFonts w:hint="eastAsia" w:hAnsi="宋体" w:eastAsia="宋体"/>
                <w:b/>
                <w:sz w:val="28"/>
                <w:szCs w:val="40"/>
                <w:highlight w:val="none"/>
              </w:rPr>
              <w:t>采购人</w:t>
            </w:r>
          </w:p>
        </w:tc>
        <w:tc>
          <w:tcPr>
            <w:tcW w:w="236" w:type="dxa"/>
            <w:noWrap w:val="0"/>
            <w:vAlign w:val="center"/>
          </w:tcPr>
          <w:p>
            <w:pPr>
              <w:pStyle w:val="12"/>
              <w:wordWrap w:val="0"/>
              <w:jc w:val="center"/>
              <w:rPr>
                <w:rFonts w:hint="eastAsia" w:hAnsi="宋体" w:eastAsia="宋体" w:cs="宋体"/>
                <w:b/>
                <w:sz w:val="28"/>
                <w:szCs w:val="44"/>
                <w:highlight w:val="none"/>
              </w:rPr>
            </w:pPr>
            <w:r>
              <w:rPr>
                <w:rFonts w:hint="eastAsia" w:hAnsi="宋体" w:eastAsia="宋体"/>
                <w:b/>
                <w:spacing w:val="60"/>
                <w:sz w:val="28"/>
                <w:szCs w:val="40"/>
                <w:highlight w:val="none"/>
              </w:rPr>
              <w:t>：</w:t>
            </w:r>
          </w:p>
        </w:tc>
        <w:tc>
          <w:tcPr>
            <w:tcW w:w="6920" w:type="dxa"/>
            <w:noWrap w:val="0"/>
            <w:vAlign w:val="center"/>
          </w:tcPr>
          <w:p>
            <w:pPr>
              <w:pStyle w:val="12"/>
              <w:wordWrap w:val="0"/>
              <w:jc w:val="center"/>
              <w:rPr>
                <w:rFonts w:hint="eastAsia" w:hAnsi="宋体" w:eastAsia="宋体" w:cs="宋体"/>
                <w:b/>
                <w:sz w:val="28"/>
                <w:szCs w:val="44"/>
                <w:highlight w:val="none"/>
              </w:rPr>
            </w:pPr>
            <w:r>
              <w:rPr>
                <w:rFonts w:hint="eastAsia" w:hAnsi="宋体" w:eastAsia="宋体"/>
                <w:b/>
                <w:sz w:val="28"/>
                <w:szCs w:val="40"/>
                <w:highlight w:val="none"/>
              </w:rPr>
              <w:t>铜陵市郊区人民法院</w:t>
            </w:r>
          </w:p>
        </w:tc>
      </w:tr>
      <w:tr>
        <w:tblPrEx>
          <w:tblCellMar>
            <w:top w:w="0" w:type="dxa"/>
            <w:left w:w="108" w:type="dxa"/>
            <w:bottom w:w="0" w:type="dxa"/>
            <w:right w:w="108" w:type="dxa"/>
          </w:tblCellMar>
        </w:tblPrEx>
        <w:trPr>
          <w:trHeight w:val="1063" w:hRule="atLeast"/>
          <w:jc w:val="center"/>
        </w:trPr>
        <w:tc>
          <w:tcPr>
            <w:tcW w:w="2883" w:type="dxa"/>
            <w:noWrap w:val="0"/>
            <w:vAlign w:val="center"/>
          </w:tcPr>
          <w:p>
            <w:pPr>
              <w:pStyle w:val="12"/>
              <w:wordWrap w:val="0"/>
              <w:jc w:val="distribute"/>
              <w:rPr>
                <w:rFonts w:hint="eastAsia" w:hAnsi="宋体" w:eastAsia="宋体" w:cs="宋体"/>
                <w:b/>
                <w:sz w:val="28"/>
                <w:szCs w:val="44"/>
                <w:highlight w:val="none"/>
              </w:rPr>
            </w:pPr>
            <w:r>
              <w:rPr>
                <w:rFonts w:hint="eastAsia" w:hAnsi="宋体" w:eastAsia="宋体"/>
                <w:b/>
                <w:spacing w:val="60"/>
                <w:sz w:val="28"/>
                <w:szCs w:val="40"/>
                <w:highlight w:val="none"/>
              </w:rPr>
              <w:t>采购代理机构</w:t>
            </w:r>
          </w:p>
        </w:tc>
        <w:tc>
          <w:tcPr>
            <w:tcW w:w="236" w:type="dxa"/>
            <w:noWrap w:val="0"/>
            <w:vAlign w:val="center"/>
          </w:tcPr>
          <w:p>
            <w:pPr>
              <w:pStyle w:val="12"/>
              <w:wordWrap w:val="0"/>
              <w:jc w:val="center"/>
              <w:rPr>
                <w:rFonts w:hint="eastAsia" w:hAnsi="宋体" w:eastAsia="宋体" w:cs="宋体"/>
                <w:b/>
                <w:sz w:val="28"/>
                <w:szCs w:val="44"/>
                <w:highlight w:val="none"/>
              </w:rPr>
            </w:pPr>
            <w:r>
              <w:rPr>
                <w:rFonts w:hint="eastAsia" w:hAnsi="宋体" w:eastAsia="宋体"/>
                <w:b/>
                <w:spacing w:val="-20"/>
                <w:sz w:val="28"/>
                <w:szCs w:val="40"/>
                <w:highlight w:val="none"/>
              </w:rPr>
              <w:t>：</w:t>
            </w:r>
          </w:p>
        </w:tc>
        <w:tc>
          <w:tcPr>
            <w:tcW w:w="6920" w:type="dxa"/>
            <w:noWrap w:val="0"/>
            <w:vAlign w:val="center"/>
          </w:tcPr>
          <w:p>
            <w:pPr>
              <w:pStyle w:val="12"/>
              <w:wordWrap w:val="0"/>
              <w:jc w:val="center"/>
              <w:rPr>
                <w:rFonts w:hint="eastAsia" w:hAnsi="宋体" w:eastAsia="宋体" w:cs="宋体"/>
                <w:b/>
                <w:sz w:val="28"/>
                <w:szCs w:val="44"/>
                <w:highlight w:val="none"/>
              </w:rPr>
            </w:pPr>
            <w:r>
              <w:rPr>
                <w:rFonts w:hint="eastAsia" w:hAnsi="宋体" w:eastAsia="宋体"/>
                <w:b/>
                <w:bCs/>
                <w:sz w:val="28"/>
                <w:szCs w:val="40"/>
                <w:highlight w:val="none"/>
              </w:rPr>
              <w:t>安徽省建生工程咨询有限公司</w:t>
            </w:r>
          </w:p>
        </w:tc>
      </w:tr>
    </w:tbl>
    <w:p>
      <w:pPr>
        <w:pStyle w:val="12"/>
        <w:wordWrap w:val="0"/>
        <w:rPr>
          <w:rFonts w:hint="eastAsia" w:hAnsi="宋体" w:eastAsia="宋体" w:cs="宋体"/>
          <w:b/>
          <w:szCs w:val="32"/>
          <w:highlight w:val="none"/>
        </w:rPr>
      </w:pPr>
    </w:p>
    <w:p>
      <w:pPr>
        <w:spacing w:line="500" w:lineRule="exact"/>
        <w:ind w:right="-1413" w:rightChars="-673"/>
        <w:jc w:val="center"/>
        <w:rPr>
          <w:rFonts w:hint="eastAsia" w:ascii="宋体" w:hAnsi="宋体" w:eastAsia="宋体" w:cs="Courier New"/>
          <w:b/>
          <w:spacing w:val="60"/>
          <w:kern w:val="2"/>
          <w:sz w:val="28"/>
          <w:szCs w:val="40"/>
          <w:highlight w:val="none"/>
          <w:lang w:val="en-US" w:eastAsia="zh-CN" w:bidi="ar-SA"/>
        </w:rPr>
      </w:pPr>
      <w:r>
        <w:rPr>
          <w:rFonts w:hint="eastAsia" w:ascii="宋体" w:hAnsi="宋体" w:eastAsia="宋体" w:cs="Courier New"/>
          <w:b/>
          <w:spacing w:val="60"/>
          <w:kern w:val="2"/>
          <w:sz w:val="28"/>
          <w:szCs w:val="40"/>
          <w:highlight w:val="none"/>
          <w:lang w:val="en-US" w:eastAsia="zh-CN" w:bidi="ar-SA"/>
        </w:rPr>
        <w:t>2024年4月</w:t>
      </w:r>
    </w:p>
    <w:p>
      <w:pPr>
        <w:spacing w:line="500" w:lineRule="exact"/>
        <w:ind w:right="-1413" w:rightChars="-673"/>
        <w:jc w:val="center"/>
        <w:rPr>
          <w:rFonts w:hint="eastAsia" w:ascii="宋体" w:hAnsi="宋体" w:eastAsia="宋体" w:cs="Courier New"/>
          <w:b/>
          <w:spacing w:val="60"/>
          <w:kern w:val="2"/>
          <w:sz w:val="28"/>
          <w:szCs w:val="40"/>
          <w:highlight w:val="none"/>
          <w:lang w:val="en-US" w:eastAsia="zh-CN" w:bidi="ar-SA"/>
        </w:rPr>
      </w:pPr>
    </w:p>
    <w:p>
      <w:pPr>
        <w:spacing w:line="500" w:lineRule="exact"/>
        <w:ind w:right="-1413" w:rightChars="-673"/>
        <w:jc w:val="center"/>
        <w:rPr>
          <w:rFonts w:hint="eastAsia" w:ascii="宋体" w:hAnsi="宋体" w:eastAsia="宋体" w:cs="Courier New"/>
          <w:b/>
          <w:spacing w:val="60"/>
          <w:kern w:val="2"/>
          <w:sz w:val="28"/>
          <w:szCs w:val="40"/>
          <w:highlight w:val="none"/>
          <w:lang w:val="en-US" w:eastAsia="zh-CN" w:bidi="ar-SA"/>
        </w:rPr>
      </w:pPr>
    </w:p>
    <w:p>
      <w:pPr>
        <w:spacing w:line="500" w:lineRule="exact"/>
        <w:ind w:right="-1413" w:rightChars="-673"/>
        <w:jc w:val="center"/>
        <w:rPr>
          <w:rFonts w:hint="eastAsia" w:ascii="宋体" w:hAnsi="宋体" w:eastAsia="宋体" w:cs="Courier New"/>
          <w:b/>
          <w:spacing w:val="60"/>
          <w:kern w:val="2"/>
          <w:sz w:val="28"/>
          <w:szCs w:val="40"/>
          <w:highlight w:val="none"/>
          <w:lang w:val="en-US" w:eastAsia="zh-CN" w:bidi="ar-SA"/>
        </w:rPr>
      </w:pPr>
    </w:p>
    <w:p>
      <w:pPr>
        <w:spacing w:line="500" w:lineRule="exact"/>
        <w:ind w:right="-1413" w:rightChars="-673"/>
        <w:jc w:val="center"/>
        <w:rPr>
          <w:rFonts w:hint="eastAsia" w:ascii="宋体" w:hAnsi="宋体" w:eastAsia="宋体" w:cs="Courier New"/>
          <w:b/>
          <w:spacing w:val="60"/>
          <w:kern w:val="2"/>
          <w:sz w:val="28"/>
          <w:szCs w:val="40"/>
          <w:highlight w:val="none"/>
          <w:lang w:val="en-US" w:eastAsia="zh-CN" w:bidi="ar-SA"/>
        </w:rPr>
      </w:pPr>
    </w:p>
    <w:p>
      <w:pPr>
        <w:spacing w:line="500" w:lineRule="exact"/>
        <w:ind w:right="-1413" w:rightChars="-673"/>
        <w:jc w:val="center"/>
        <w:rPr>
          <w:rFonts w:hint="eastAsia" w:ascii="宋体" w:hAnsi="宋体" w:eastAsia="宋体" w:cs="Courier New"/>
          <w:b/>
          <w:spacing w:val="60"/>
          <w:kern w:val="2"/>
          <w:sz w:val="28"/>
          <w:szCs w:val="40"/>
          <w:highlight w:val="none"/>
          <w:lang w:val="en-US" w:eastAsia="zh-CN" w:bidi="ar-SA"/>
        </w:rPr>
      </w:pPr>
      <w:bookmarkStart w:id="21" w:name="_GoBack"/>
      <w:bookmarkEnd w:id="21"/>
    </w:p>
    <w:p>
      <w:pPr>
        <w:spacing w:line="500" w:lineRule="exact"/>
        <w:ind w:right="-1413" w:rightChars="-673"/>
        <w:jc w:val="center"/>
        <w:rPr>
          <w:rFonts w:hint="eastAsia" w:ascii="宋体" w:hAnsi="宋体" w:eastAsia="宋体" w:cs="Courier New"/>
          <w:b/>
          <w:spacing w:val="60"/>
          <w:kern w:val="2"/>
          <w:sz w:val="28"/>
          <w:szCs w:val="40"/>
          <w:highlight w:val="none"/>
          <w:lang w:val="en-US" w:eastAsia="zh-CN" w:bidi="ar-SA"/>
        </w:rPr>
      </w:pPr>
    </w:p>
    <w:p>
      <w:pPr>
        <w:spacing w:line="500" w:lineRule="exact"/>
        <w:ind w:right="-1413" w:rightChars="-673"/>
        <w:jc w:val="both"/>
        <w:rPr>
          <w:rFonts w:hint="eastAsia" w:ascii="宋体" w:hAnsi="宋体"/>
          <w:b/>
          <w:bCs/>
          <w:sz w:val="32"/>
          <w:szCs w:val="32"/>
          <w:highlight w:val="none"/>
          <w:lang w:eastAsia="zh-CN"/>
        </w:rPr>
        <w:sectPr>
          <w:headerReference r:id="rId4" w:type="first"/>
          <w:headerReference r:id="rId3" w:type="default"/>
          <w:footerReference r:id="rId5" w:type="default"/>
          <w:pgSz w:w="11906" w:h="16838"/>
          <w:pgMar w:top="1440" w:right="1440" w:bottom="1440" w:left="1440" w:header="851" w:footer="992" w:gutter="0"/>
          <w:pgNumType w:start="1"/>
          <w:cols w:space="720" w:num="1"/>
          <w:titlePg/>
          <w:docGrid w:type="linesAndChars" w:linePitch="312" w:charSpace="0"/>
        </w:sectPr>
      </w:pPr>
    </w:p>
    <w:p>
      <w:pPr>
        <w:spacing w:line="500" w:lineRule="exact"/>
        <w:ind w:right="-1413" w:rightChars="-673"/>
        <w:jc w:val="both"/>
        <w:rPr>
          <w:rFonts w:hint="eastAsia" w:ascii="宋体" w:hAnsi="宋体"/>
          <w:b/>
          <w:bCs/>
          <w:sz w:val="32"/>
          <w:szCs w:val="32"/>
          <w:highlight w:val="none"/>
        </w:rPr>
      </w:pPr>
      <w:r>
        <w:rPr>
          <w:rFonts w:hint="eastAsia" w:ascii="宋体" w:hAnsi="宋体"/>
          <w:b/>
          <w:bCs/>
          <w:sz w:val="32"/>
          <w:szCs w:val="32"/>
          <w:highlight w:val="none"/>
          <w:lang w:eastAsia="zh-CN"/>
        </w:rPr>
        <w:t>郊区人民法院专网与互联网安全建设项目</w:t>
      </w:r>
      <w:r>
        <w:rPr>
          <w:rFonts w:hint="eastAsia" w:ascii="宋体" w:hAnsi="宋体"/>
          <w:b/>
          <w:bCs/>
          <w:sz w:val="32"/>
          <w:szCs w:val="32"/>
          <w:highlight w:val="none"/>
        </w:rPr>
        <w:t>项目竞争性谈判公告</w:t>
      </w:r>
    </w:p>
    <w:p>
      <w:pPr>
        <w:pStyle w:val="18"/>
        <w:widowControl/>
        <w:shd w:val="clear" w:color="050000" w:fill="FFFFFF"/>
        <w:spacing w:line="360" w:lineRule="auto"/>
        <w:ind w:firstLine="645"/>
        <w:rPr>
          <w:sz w:val="28"/>
          <w:szCs w:val="28"/>
          <w:highlight w:val="none"/>
        </w:rPr>
      </w:pPr>
      <w:r>
        <w:rPr>
          <w:rFonts w:hint="eastAsia"/>
          <w:color w:val="333333"/>
          <w:sz w:val="28"/>
          <w:szCs w:val="28"/>
          <w:highlight w:val="none"/>
          <w:u w:val="single"/>
          <w:shd w:val="clear" w:color="050000" w:fill="FFFFFF"/>
        </w:rPr>
        <w:t>安徽省建生工程咨询有限公司</w:t>
      </w:r>
      <w:r>
        <w:rPr>
          <w:color w:val="333333"/>
          <w:sz w:val="28"/>
          <w:szCs w:val="28"/>
          <w:highlight w:val="none"/>
          <w:shd w:val="clear" w:color="040000" w:fill="FFFFFF"/>
        </w:rPr>
        <w:t>受</w:t>
      </w:r>
      <w:r>
        <w:rPr>
          <w:rFonts w:hint="eastAsia"/>
          <w:color w:val="333333"/>
          <w:sz w:val="28"/>
          <w:szCs w:val="28"/>
          <w:highlight w:val="none"/>
          <w:u w:val="single"/>
          <w:shd w:val="clear" w:color="050000" w:fill="FFFFFF"/>
          <w:lang w:eastAsia="zh-CN"/>
        </w:rPr>
        <w:t>铜陵市郊区人民法院</w:t>
      </w:r>
      <w:r>
        <w:rPr>
          <w:color w:val="333333"/>
          <w:sz w:val="28"/>
          <w:szCs w:val="28"/>
          <w:highlight w:val="none"/>
          <w:shd w:val="clear" w:color="040000" w:fill="FFFFFF"/>
        </w:rPr>
        <w:t>的委托，现对</w:t>
      </w:r>
      <w:r>
        <w:rPr>
          <w:rFonts w:hint="eastAsia" w:ascii="宋体" w:hAnsi="宋体" w:cs="宋体"/>
          <w:color w:val="333333"/>
          <w:sz w:val="28"/>
          <w:szCs w:val="28"/>
          <w:highlight w:val="none"/>
          <w:u w:val="single"/>
          <w:shd w:val="clear" w:color="050000" w:fill="FFFFFF"/>
          <w:lang w:eastAsia="zh-CN"/>
        </w:rPr>
        <w:t>郊区人民法院专网与互联网安全建设项目</w:t>
      </w:r>
      <w:r>
        <w:rPr>
          <w:rFonts w:hint="eastAsia" w:ascii="宋体" w:hAnsi="宋体" w:cs="宋体"/>
          <w:color w:val="333333"/>
          <w:sz w:val="28"/>
          <w:szCs w:val="28"/>
          <w:highlight w:val="none"/>
          <w:u w:val="single"/>
          <w:shd w:val="clear" w:color="050000" w:fill="FFFFFF"/>
        </w:rPr>
        <w:t>项目</w:t>
      </w:r>
      <w:r>
        <w:rPr>
          <w:color w:val="333333"/>
          <w:sz w:val="28"/>
          <w:szCs w:val="28"/>
          <w:highlight w:val="none"/>
          <w:shd w:val="clear" w:color="040000" w:fill="FFFFFF"/>
        </w:rPr>
        <w:t>进行竞争性</w:t>
      </w:r>
      <w:r>
        <w:rPr>
          <w:rFonts w:hint="eastAsia"/>
          <w:color w:val="333333"/>
          <w:sz w:val="28"/>
          <w:szCs w:val="28"/>
          <w:highlight w:val="none"/>
          <w:shd w:val="clear" w:color="040000" w:fill="FFFFFF"/>
        </w:rPr>
        <w:t>谈判</w:t>
      </w:r>
      <w:r>
        <w:rPr>
          <w:color w:val="333333"/>
          <w:sz w:val="28"/>
          <w:szCs w:val="28"/>
          <w:highlight w:val="none"/>
          <w:shd w:val="clear" w:color="040000" w:fill="FFFFFF"/>
        </w:rPr>
        <w:t>，欢迎具备条件的国内供应商参加</w:t>
      </w:r>
      <w:r>
        <w:rPr>
          <w:rFonts w:hint="eastAsia"/>
          <w:color w:val="333333"/>
          <w:sz w:val="28"/>
          <w:szCs w:val="28"/>
          <w:highlight w:val="none"/>
          <w:shd w:val="clear" w:color="040000" w:fill="FFFFFF"/>
        </w:rPr>
        <w:t>谈判</w:t>
      </w:r>
      <w:r>
        <w:rPr>
          <w:color w:val="333333"/>
          <w:sz w:val="28"/>
          <w:szCs w:val="28"/>
          <w:highlight w:val="none"/>
          <w:shd w:val="clear" w:color="040000" w:fill="FFFFFF"/>
        </w:rPr>
        <w:t>。</w:t>
      </w:r>
    </w:p>
    <w:p>
      <w:pPr>
        <w:widowControl/>
        <w:shd w:val="clear" w:color="auto" w:fill="FFFFFF"/>
        <w:snapToGrid w:val="0"/>
        <w:spacing w:line="360" w:lineRule="auto"/>
        <w:ind w:firstLine="643"/>
        <w:rPr>
          <w:rFonts w:ascii="宋体" w:hAnsi="宋体" w:cs="宋体"/>
          <w:kern w:val="0"/>
          <w:sz w:val="28"/>
          <w:szCs w:val="28"/>
          <w:highlight w:val="none"/>
        </w:rPr>
      </w:pPr>
      <w:r>
        <w:rPr>
          <w:rFonts w:hint="eastAsia" w:ascii="宋体" w:hAnsi="宋体" w:cs="宋体"/>
          <w:b/>
          <w:bCs/>
          <w:kern w:val="0"/>
          <w:sz w:val="28"/>
          <w:szCs w:val="28"/>
          <w:highlight w:val="none"/>
        </w:rPr>
        <w:t>一、项目名称及内容</w:t>
      </w:r>
    </w:p>
    <w:p>
      <w:pPr>
        <w:widowControl/>
        <w:shd w:val="clear" w:color="auto" w:fill="FFFFFF"/>
        <w:snapToGrid w:val="0"/>
        <w:spacing w:line="360" w:lineRule="auto"/>
        <w:ind w:firstLine="64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1、项目编号：</w:t>
      </w:r>
      <w:r>
        <w:rPr>
          <w:rFonts w:hint="eastAsia" w:ascii="宋体" w:hAnsi="宋体" w:cs="宋体"/>
          <w:kern w:val="0"/>
          <w:sz w:val="28"/>
          <w:szCs w:val="28"/>
          <w:highlight w:val="none"/>
          <w:lang w:eastAsia="zh-CN"/>
        </w:rPr>
        <w:t>JSZB2024019</w:t>
      </w:r>
    </w:p>
    <w:p>
      <w:pPr>
        <w:widowControl/>
        <w:shd w:val="clear" w:color="auto" w:fill="FFFFFF"/>
        <w:snapToGrid w:val="0"/>
        <w:spacing w:line="360" w:lineRule="auto"/>
        <w:ind w:firstLine="64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2、项目名称：</w:t>
      </w:r>
      <w:r>
        <w:rPr>
          <w:rFonts w:hint="eastAsia" w:ascii="宋体" w:hAnsi="宋体" w:cs="宋体"/>
          <w:kern w:val="0"/>
          <w:sz w:val="28"/>
          <w:szCs w:val="28"/>
          <w:highlight w:val="none"/>
          <w:lang w:eastAsia="zh-CN"/>
        </w:rPr>
        <w:t>郊区人民法院专网与互联网安全建设项目</w:t>
      </w:r>
    </w:p>
    <w:p>
      <w:pPr>
        <w:widowControl/>
        <w:shd w:val="clear" w:color="auto" w:fill="FFFFFF"/>
        <w:snapToGrid w:val="0"/>
        <w:spacing w:line="360" w:lineRule="auto"/>
        <w:ind w:firstLine="640"/>
        <w:rPr>
          <w:rFonts w:ascii="宋体" w:hAnsi="宋体" w:cs="宋体"/>
          <w:kern w:val="0"/>
          <w:sz w:val="28"/>
          <w:szCs w:val="28"/>
          <w:highlight w:val="none"/>
        </w:rPr>
      </w:pPr>
      <w:r>
        <w:rPr>
          <w:rFonts w:hint="eastAsia" w:ascii="宋体" w:hAnsi="宋体" w:cs="宋体"/>
          <w:kern w:val="0"/>
          <w:sz w:val="28"/>
          <w:szCs w:val="28"/>
          <w:highlight w:val="none"/>
        </w:rPr>
        <w:t>3、项目单位：</w:t>
      </w:r>
      <w:r>
        <w:rPr>
          <w:rFonts w:hint="eastAsia" w:ascii="宋体" w:hAnsi="宋体" w:cs="宋体"/>
          <w:kern w:val="0"/>
          <w:sz w:val="28"/>
          <w:szCs w:val="28"/>
          <w:highlight w:val="none"/>
          <w:lang w:eastAsia="zh-CN"/>
        </w:rPr>
        <w:t>铜陵市郊区人民法院</w:t>
      </w:r>
      <w:r>
        <w:rPr>
          <w:rFonts w:hint="eastAsia" w:ascii="宋体" w:hAnsi="宋体" w:cs="宋体"/>
          <w:kern w:val="0"/>
          <w:sz w:val="28"/>
          <w:szCs w:val="28"/>
          <w:highlight w:val="none"/>
        </w:rPr>
        <w:t xml:space="preserve">                        </w:t>
      </w:r>
    </w:p>
    <w:p>
      <w:pPr>
        <w:widowControl/>
        <w:shd w:val="clear" w:color="auto" w:fill="FFFFFF"/>
        <w:snapToGrid w:val="0"/>
        <w:spacing w:line="360" w:lineRule="auto"/>
        <w:ind w:firstLine="64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项目预算：399684.01元人民币。</w:t>
      </w:r>
    </w:p>
    <w:p>
      <w:pPr>
        <w:widowControl/>
        <w:shd w:val="clear" w:color="auto" w:fill="FFFFFF"/>
        <w:snapToGrid w:val="0"/>
        <w:spacing w:line="360" w:lineRule="auto"/>
        <w:ind w:firstLine="640"/>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eastAsia="zh-CN"/>
        </w:rPr>
        <w:t>5、项目概况：郊区人民法院专网与互联网安全建设项目（详见谈判文件）。</w:t>
      </w:r>
    </w:p>
    <w:p>
      <w:pPr>
        <w:widowControl/>
        <w:shd w:val="clear" w:color="auto" w:fill="FFFFFF"/>
        <w:snapToGrid w:val="0"/>
        <w:spacing w:line="360" w:lineRule="auto"/>
        <w:ind w:firstLine="64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6、</w:t>
      </w:r>
      <w:r>
        <w:rPr>
          <w:rFonts w:hint="eastAsia" w:ascii="宋体" w:hAnsi="宋体" w:cs="宋体"/>
          <w:kern w:val="0"/>
          <w:sz w:val="28"/>
          <w:szCs w:val="28"/>
          <w:highlight w:val="none"/>
          <w:lang w:eastAsia="zh-CN"/>
        </w:rPr>
        <w:t>工期</w:t>
      </w:r>
      <w:r>
        <w:rPr>
          <w:rFonts w:hint="eastAsia" w:ascii="宋体" w:hAnsi="宋体" w:cs="宋体"/>
          <w:kern w:val="0"/>
          <w:sz w:val="28"/>
          <w:szCs w:val="28"/>
          <w:highlight w:val="none"/>
        </w:rPr>
        <w:t>：</w:t>
      </w:r>
      <w:r>
        <w:rPr>
          <w:rFonts w:hint="eastAsia" w:ascii="宋体" w:hAnsi="宋体"/>
          <w:sz w:val="28"/>
          <w:szCs w:val="28"/>
          <w:highlight w:val="none"/>
          <w:lang w:eastAsia="zh-CN"/>
        </w:rPr>
        <w:t>合同签订之日起45日。</w:t>
      </w:r>
    </w:p>
    <w:p>
      <w:pPr>
        <w:widowControl/>
        <w:shd w:val="clear" w:color="auto" w:fill="FFFFFF"/>
        <w:snapToGrid w:val="0"/>
        <w:spacing w:line="360" w:lineRule="auto"/>
        <w:ind w:firstLine="640"/>
        <w:rPr>
          <w:rFonts w:ascii="宋体" w:hAnsi="宋体" w:cs="宋体"/>
          <w:kern w:val="0"/>
          <w:sz w:val="28"/>
          <w:szCs w:val="28"/>
          <w:highlight w:val="none"/>
        </w:rPr>
      </w:pPr>
      <w:r>
        <w:rPr>
          <w:rFonts w:hint="eastAsia" w:ascii="宋体" w:hAnsi="宋体" w:cs="宋体"/>
          <w:kern w:val="0"/>
          <w:sz w:val="28"/>
          <w:szCs w:val="28"/>
          <w:highlight w:val="none"/>
        </w:rPr>
        <w:t>7、标段（包别）划分：一个标段</w:t>
      </w:r>
    </w:p>
    <w:p>
      <w:pPr>
        <w:widowControl/>
        <w:shd w:val="clear" w:color="auto" w:fill="FFFFFF"/>
        <w:snapToGrid w:val="0"/>
        <w:spacing w:line="360" w:lineRule="auto"/>
        <w:ind w:firstLine="643"/>
        <w:rPr>
          <w:rFonts w:ascii="宋体" w:hAnsi="宋体" w:cs="宋体"/>
          <w:b/>
          <w:bCs/>
          <w:kern w:val="0"/>
          <w:sz w:val="28"/>
          <w:szCs w:val="28"/>
          <w:highlight w:val="none"/>
        </w:rPr>
      </w:pPr>
      <w:r>
        <w:rPr>
          <w:rFonts w:hint="eastAsia" w:ascii="宋体" w:hAnsi="宋体" w:cs="宋体"/>
          <w:b/>
          <w:bCs/>
          <w:kern w:val="0"/>
          <w:sz w:val="28"/>
          <w:szCs w:val="28"/>
          <w:highlight w:val="none"/>
        </w:rPr>
        <w:t>二、供应商资格</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1、满足《中华人民共和国政府采购法》第二十二条；</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2、响应供应商存有以下不良信用记录情形之一的，不得推荐为中标候选供应商，不得确定为中标供应商：</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 xml:space="preserve">（1）响应供应商被人民法院列入失信被执行人的; </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 xml:space="preserve">（2）响应供应商或其法定代表人或拟派项目经理(项目负责人)被人民检察院列入行贿犯罪档案的; </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（3）响应供应商或分支机构被工商行政管理部门列入企业经营异常名录的；</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（4）响应供应商有重大税收违法案件记录曾被税务部门处罚过的响应单位；</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（5）响应供应商被政府采购监管部门列入政府采购严重违法失信行为记录名单的。</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3、本项目不接受联合体响应。</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b/>
          <w:bCs/>
          <w:kern w:val="0"/>
          <w:sz w:val="28"/>
          <w:szCs w:val="28"/>
          <w:highlight w:val="none"/>
          <w:lang w:eastAsia="zh-CN"/>
        </w:rPr>
        <w:t>三</w:t>
      </w:r>
      <w:r>
        <w:rPr>
          <w:rFonts w:hint="eastAsia" w:ascii="宋体" w:hAnsi="宋体" w:cs="宋体"/>
          <w:b/>
          <w:bCs/>
          <w:kern w:val="0"/>
          <w:sz w:val="28"/>
          <w:szCs w:val="28"/>
          <w:highlight w:val="none"/>
        </w:rPr>
        <w:t>、资格审查：</w:t>
      </w:r>
      <w:r>
        <w:rPr>
          <w:rFonts w:hint="eastAsia" w:ascii="宋体" w:hAnsi="宋体" w:cs="宋体"/>
          <w:kern w:val="0"/>
          <w:sz w:val="28"/>
          <w:szCs w:val="28"/>
          <w:highlight w:val="none"/>
        </w:rPr>
        <w:t>本次采购采取资格后审方式，资格审查将在开标后由评委会审查。</w:t>
      </w:r>
    </w:p>
    <w:p>
      <w:pPr>
        <w:widowControl/>
        <w:shd w:val="clear" w:color="auto" w:fill="FFFFFF"/>
        <w:snapToGrid w:val="0"/>
        <w:spacing w:line="360" w:lineRule="auto"/>
        <w:ind w:firstLine="640"/>
        <w:rPr>
          <w:rFonts w:hint="default" w:ascii="宋体" w:hAnsi="宋体" w:cs="宋体"/>
          <w:kern w:val="0"/>
          <w:sz w:val="28"/>
          <w:szCs w:val="28"/>
          <w:highlight w:val="none"/>
        </w:rPr>
      </w:pPr>
      <w:r>
        <w:rPr>
          <w:rFonts w:hint="eastAsia" w:ascii="宋体" w:hAnsi="宋体" w:cs="宋体"/>
          <w:b/>
          <w:bCs/>
          <w:kern w:val="0"/>
          <w:sz w:val="28"/>
          <w:szCs w:val="28"/>
          <w:highlight w:val="none"/>
          <w:lang w:eastAsia="zh-CN"/>
        </w:rPr>
        <w:t>四</w:t>
      </w:r>
      <w:r>
        <w:rPr>
          <w:rFonts w:hint="eastAsia" w:ascii="宋体" w:hAnsi="宋体" w:cs="宋体"/>
          <w:b/>
          <w:bCs/>
          <w:kern w:val="0"/>
          <w:sz w:val="28"/>
          <w:szCs w:val="28"/>
          <w:highlight w:val="none"/>
        </w:rPr>
        <w:t>、标书获取方式：</w:t>
      </w:r>
      <w:r>
        <w:rPr>
          <w:rFonts w:hint="eastAsia" w:ascii="宋体" w:hAnsi="宋体" w:cs="宋体"/>
          <w:kern w:val="0"/>
          <w:sz w:val="28"/>
          <w:szCs w:val="28"/>
          <w:highlight w:val="none"/>
        </w:rPr>
        <w:t>不需要现场报名，</w:t>
      </w:r>
      <w:r>
        <w:rPr>
          <w:rFonts w:hint="eastAsia" w:ascii="宋体" w:hAnsi="宋体" w:cs="宋体"/>
          <w:kern w:val="0"/>
          <w:sz w:val="28"/>
          <w:szCs w:val="28"/>
          <w:highlight w:val="none"/>
          <w:lang w:eastAsia="zh-CN"/>
        </w:rPr>
        <w:t>谈判文件</w:t>
      </w:r>
      <w:r>
        <w:rPr>
          <w:rFonts w:hint="eastAsia" w:ascii="宋体" w:hAnsi="宋体" w:cs="宋体"/>
          <w:kern w:val="0"/>
          <w:sz w:val="28"/>
          <w:szCs w:val="28"/>
          <w:highlight w:val="none"/>
        </w:rPr>
        <w:t>在安徽省建生工程咨询有限公司网站自行下载。</w:t>
      </w:r>
    </w:p>
    <w:p>
      <w:pPr>
        <w:widowControl/>
        <w:shd w:val="clear" w:color="auto" w:fill="FFFFFF"/>
        <w:snapToGrid w:val="0"/>
        <w:spacing w:line="360" w:lineRule="auto"/>
        <w:ind w:firstLine="640"/>
        <w:rPr>
          <w:rFonts w:hint="eastAsia" w:ascii="宋体" w:hAnsi="宋体" w:cs="宋体"/>
          <w:b/>
          <w:bCs/>
          <w:kern w:val="0"/>
          <w:sz w:val="28"/>
          <w:szCs w:val="28"/>
          <w:highlight w:val="none"/>
        </w:rPr>
      </w:pPr>
      <w:r>
        <w:rPr>
          <w:rFonts w:hint="eastAsia" w:ascii="宋体" w:hAnsi="宋体" w:cs="宋体"/>
          <w:b/>
          <w:bCs/>
          <w:kern w:val="0"/>
          <w:sz w:val="28"/>
          <w:szCs w:val="28"/>
          <w:highlight w:val="none"/>
          <w:lang w:eastAsia="zh-CN"/>
        </w:rPr>
        <w:t>五</w:t>
      </w:r>
      <w:r>
        <w:rPr>
          <w:rFonts w:hint="eastAsia" w:ascii="宋体" w:hAnsi="宋体" w:cs="宋体"/>
          <w:b/>
          <w:bCs/>
          <w:kern w:val="0"/>
          <w:sz w:val="28"/>
          <w:szCs w:val="28"/>
          <w:highlight w:val="none"/>
        </w:rPr>
        <w:t>、响应截止时间和地点</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1、开标时间：2024年</w:t>
      </w: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16</w:t>
      </w:r>
      <w:r>
        <w:rPr>
          <w:rFonts w:hint="eastAsia" w:ascii="宋体" w:hAnsi="宋体" w:cs="宋体"/>
          <w:kern w:val="0"/>
          <w:sz w:val="28"/>
          <w:szCs w:val="28"/>
          <w:highlight w:val="none"/>
        </w:rPr>
        <w:t>日</w:t>
      </w:r>
      <w:r>
        <w:rPr>
          <w:rFonts w:hint="eastAsia" w:ascii="宋体" w:hAnsi="宋体" w:cs="宋体"/>
          <w:kern w:val="0"/>
          <w:sz w:val="28"/>
          <w:szCs w:val="28"/>
          <w:highlight w:val="none"/>
          <w:lang w:val="en-US" w:eastAsia="zh-CN"/>
        </w:rPr>
        <w:t>15</w:t>
      </w:r>
      <w:r>
        <w:rPr>
          <w:rFonts w:hint="eastAsia" w:ascii="宋体" w:hAnsi="宋体" w:cs="宋体"/>
          <w:kern w:val="0"/>
          <w:sz w:val="28"/>
          <w:szCs w:val="28"/>
          <w:highlight w:val="none"/>
        </w:rPr>
        <w:t>时</w:t>
      </w:r>
      <w:r>
        <w:rPr>
          <w:rFonts w:hint="eastAsia" w:ascii="宋体" w:hAnsi="宋体" w:cs="宋体"/>
          <w:kern w:val="0"/>
          <w:sz w:val="28"/>
          <w:szCs w:val="28"/>
          <w:highlight w:val="none"/>
          <w:lang w:val="en-US" w:eastAsia="zh-CN"/>
        </w:rPr>
        <w:t>00</w:t>
      </w:r>
      <w:r>
        <w:rPr>
          <w:rFonts w:hint="eastAsia" w:ascii="宋体" w:hAnsi="宋体" w:cs="宋体"/>
          <w:kern w:val="0"/>
          <w:sz w:val="28"/>
          <w:szCs w:val="28"/>
          <w:highlight w:val="none"/>
        </w:rPr>
        <w:t>分（北京时间）。</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2、开标地点：安徽省建生工程咨询有限公司开标室。（义安区金泰广场副楼四层）</w:t>
      </w:r>
    </w:p>
    <w:p>
      <w:pPr>
        <w:widowControl/>
        <w:shd w:val="clear" w:color="auto" w:fill="FFFFFF"/>
        <w:snapToGrid w:val="0"/>
        <w:spacing w:line="360" w:lineRule="auto"/>
        <w:ind w:firstLine="640"/>
        <w:rPr>
          <w:rFonts w:hint="eastAsia" w:ascii="宋体" w:hAnsi="宋体" w:cs="宋体"/>
          <w:b/>
          <w:bCs/>
          <w:kern w:val="0"/>
          <w:sz w:val="28"/>
          <w:szCs w:val="28"/>
          <w:highlight w:val="none"/>
        </w:rPr>
      </w:pPr>
      <w:r>
        <w:rPr>
          <w:rFonts w:hint="eastAsia" w:ascii="宋体" w:hAnsi="宋体" w:cs="宋体"/>
          <w:b/>
          <w:bCs/>
          <w:kern w:val="0"/>
          <w:sz w:val="28"/>
          <w:szCs w:val="28"/>
          <w:highlight w:val="none"/>
          <w:lang w:eastAsia="zh-CN"/>
        </w:rPr>
        <w:t>六</w:t>
      </w:r>
      <w:r>
        <w:rPr>
          <w:rFonts w:hint="eastAsia" w:ascii="宋体" w:hAnsi="宋体" w:cs="宋体"/>
          <w:b/>
          <w:bCs/>
          <w:kern w:val="0"/>
          <w:sz w:val="28"/>
          <w:szCs w:val="28"/>
          <w:highlight w:val="none"/>
        </w:rPr>
        <w:t>、联系方式：</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采 购 人：铜陵市郊区人民法院</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联 系 人：</w:t>
      </w:r>
      <w:r>
        <w:rPr>
          <w:rFonts w:hint="eastAsia" w:ascii="宋体" w:hAnsi="宋体" w:cs="宋体"/>
          <w:kern w:val="0"/>
          <w:sz w:val="28"/>
          <w:szCs w:val="28"/>
          <w:highlight w:val="none"/>
          <w:lang w:eastAsia="zh-CN"/>
        </w:rPr>
        <w:t>查</w:t>
      </w:r>
      <w:r>
        <w:rPr>
          <w:rFonts w:hint="eastAsia" w:ascii="宋体" w:hAnsi="宋体" w:cs="宋体"/>
          <w:kern w:val="0"/>
          <w:sz w:val="28"/>
          <w:szCs w:val="28"/>
          <w:highlight w:val="none"/>
        </w:rPr>
        <w:t>先生</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联系电话：</w:t>
      </w:r>
      <w:r>
        <w:rPr>
          <w:rFonts w:hint="eastAsia" w:ascii="宋体" w:hAnsi="宋体" w:cs="宋体"/>
          <w:kern w:val="0"/>
          <w:sz w:val="28"/>
          <w:szCs w:val="28"/>
          <w:highlight w:val="none"/>
          <w:lang w:eastAsia="zh-CN"/>
        </w:rPr>
        <w:t>0562-2896150</w:t>
      </w:r>
      <w:r>
        <w:rPr>
          <w:rFonts w:hint="eastAsia" w:ascii="宋体" w:hAnsi="宋体" w:cs="宋体"/>
          <w:kern w:val="0"/>
          <w:sz w:val="28"/>
          <w:szCs w:val="28"/>
          <w:highlight w:val="none"/>
        </w:rPr>
        <w:t xml:space="preserve">  </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采购代理机构: 安徽省建生工程咨询有限公司</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联 系 人：胡工</w:t>
      </w:r>
    </w:p>
    <w:p>
      <w:pPr>
        <w:widowControl/>
        <w:shd w:val="clear" w:color="auto" w:fill="FFFFFF"/>
        <w:snapToGrid w:val="0"/>
        <w:spacing w:line="360" w:lineRule="auto"/>
        <w:ind w:firstLine="640"/>
        <w:rPr>
          <w:rFonts w:hint="eastAsia" w:ascii="宋体" w:hAnsi="宋体" w:cs="宋体"/>
          <w:kern w:val="0"/>
          <w:sz w:val="28"/>
          <w:szCs w:val="28"/>
          <w:highlight w:val="none"/>
        </w:rPr>
      </w:pPr>
      <w:r>
        <w:rPr>
          <w:rFonts w:hint="eastAsia" w:ascii="宋体" w:hAnsi="宋体" w:cs="宋体"/>
          <w:kern w:val="0"/>
          <w:sz w:val="28"/>
          <w:szCs w:val="28"/>
          <w:highlight w:val="none"/>
        </w:rPr>
        <w:t>联系电话：18095629879</w:t>
      </w:r>
    </w:p>
    <w:p>
      <w:pPr>
        <w:spacing w:line="360" w:lineRule="auto"/>
        <w:ind w:firstLine="560" w:firstLineChars="200"/>
        <w:rPr>
          <w:rFonts w:ascii="宋体" w:hAnsi="宋体" w:cs="宋体"/>
          <w:sz w:val="28"/>
          <w:szCs w:val="28"/>
          <w:highlight w:val="none"/>
        </w:rPr>
      </w:pPr>
    </w:p>
    <w:p>
      <w:pPr>
        <w:spacing w:line="360" w:lineRule="auto"/>
        <w:ind w:firstLine="560" w:firstLineChars="200"/>
        <w:rPr>
          <w:rFonts w:ascii="宋体" w:hAnsi="宋体" w:cs="华文仿宋"/>
          <w:sz w:val="28"/>
          <w:szCs w:val="28"/>
          <w:highlight w:val="none"/>
        </w:rPr>
      </w:pPr>
      <w:r>
        <w:rPr>
          <w:rFonts w:hint="eastAsia" w:ascii="宋体" w:hAnsi="宋体" w:cs="华文仿宋"/>
          <w:sz w:val="28"/>
          <w:szCs w:val="28"/>
          <w:highlight w:val="none"/>
        </w:rPr>
        <w:br w:type="page"/>
      </w:r>
    </w:p>
    <w:p>
      <w:pPr>
        <w:ind w:firstLine="640" w:firstLineChars="200"/>
        <w:jc w:val="center"/>
        <w:rPr>
          <w:rFonts w:ascii="宋体" w:hAnsi="宋体" w:cs="Arial"/>
          <w:b/>
          <w:sz w:val="32"/>
          <w:szCs w:val="32"/>
          <w:highlight w:val="none"/>
        </w:rPr>
      </w:pPr>
      <w:bookmarkStart w:id="0" w:name="_Hlk450146187"/>
      <w:bookmarkStart w:id="1" w:name="_Toc338398712"/>
      <w:bookmarkStart w:id="2" w:name="_Toc272141463"/>
      <w:r>
        <w:rPr>
          <w:rFonts w:hint="eastAsia" w:ascii="宋体" w:hAnsi="宋体" w:cs="Arial"/>
          <w:b/>
          <w:sz w:val="32"/>
          <w:szCs w:val="32"/>
          <w:highlight w:val="none"/>
        </w:rPr>
        <w:t>目   录</w:t>
      </w:r>
    </w:p>
    <w:p>
      <w:pPr>
        <w:pStyle w:val="16"/>
        <w:tabs>
          <w:tab w:val="left" w:pos="1050"/>
          <w:tab w:val="right" w:leader="dot" w:pos="8296"/>
        </w:tabs>
        <w:spacing w:line="540" w:lineRule="exact"/>
        <w:rPr>
          <w:rStyle w:val="26"/>
          <w:rFonts w:hint="eastAsia"/>
          <w:sz w:val="28"/>
          <w:szCs w:val="28"/>
          <w:highlight w:val="none"/>
        </w:rPr>
      </w:pPr>
      <w:r>
        <w:rPr>
          <w:rFonts w:ascii="宋体" w:hAnsi="宋体" w:cs="Arial"/>
          <w:sz w:val="28"/>
          <w:szCs w:val="28"/>
          <w:highlight w:val="none"/>
        </w:rPr>
        <w:fldChar w:fldCharType="begin"/>
      </w:r>
      <w:r>
        <w:rPr>
          <w:rFonts w:hint="eastAsia" w:ascii="宋体" w:hAnsi="宋体" w:cs="Arial"/>
          <w:sz w:val="28"/>
          <w:szCs w:val="28"/>
          <w:highlight w:val="none"/>
        </w:rPr>
        <w:instrText xml:space="preserve">TOC \h \z \t "001大标题,1,002标题,2"</w:instrText>
      </w:r>
      <w:r>
        <w:rPr>
          <w:rFonts w:ascii="宋体" w:hAnsi="宋体" w:cs="Arial"/>
          <w:sz w:val="28"/>
          <w:szCs w:val="28"/>
          <w:highlight w:val="none"/>
        </w:rPr>
        <w:fldChar w:fldCharType="separate"/>
      </w:r>
      <w:r>
        <w:rPr>
          <w:highlight w:val="none"/>
        </w:rPr>
        <w:fldChar w:fldCharType="begin"/>
      </w:r>
      <w:r>
        <w:rPr>
          <w:highlight w:val="none"/>
        </w:rPr>
        <w:instrText xml:space="preserve"> HYPERLINK \l "_Toc383776341" </w:instrText>
      </w:r>
      <w:r>
        <w:rPr>
          <w:highlight w:val="none"/>
        </w:rPr>
        <w:fldChar w:fldCharType="separate"/>
      </w:r>
      <w:r>
        <w:rPr>
          <w:rStyle w:val="26"/>
          <w:rFonts w:hint="eastAsia"/>
          <w:sz w:val="28"/>
          <w:szCs w:val="28"/>
          <w:highlight w:val="none"/>
        </w:rPr>
        <w:t>第一章</w:t>
      </w:r>
      <w:r>
        <w:rPr>
          <w:sz w:val="28"/>
          <w:szCs w:val="28"/>
          <w:highlight w:val="none"/>
        </w:rPr>
        <w:tab/>
      </w:r>
      <w:r>
        <w:rPr>
          <w:rStyle w:val="26"/>
          <w:rFonts w:hint="eastAsia"/>
          <w:sz w:val="28"/>
          <w:szCs w:val="28"/>
          <w:highlight w:val="none"/>
        </w:rPr>
        <w:t>竞争性谈判书</w:t>
      </w:r>
      <w:r>
        <w:rPr>
          <w:rStyle w:val="26"/>
          <w:rFonts w:hint="eastAsia"/>
          <w:sz w:val="28"/>
          <w:szCs w:val="28"/>
          <w:highlight w:val="none"/>
        </w:rPr>
        <w:fldChar w:fldCharType="end"/>
      </w:r>
    </w:p>
    <w:p>
      <w:pPr>
        <w:pStyle w:val="28"/>
        <w:spacing w:line="360" w:lineRule="auto"/>
        <w:jc w:val="both"/>
        <w:rPr>
          <w:rFonts w:ascii="Times New Roman" w:hAnsi="Times New Roman" w:eastAsia="宋体" w:cs="Times New Roman"/>
          <w:kern w:val="2"/>
          <w:sz w:val="28"/>
          <w:szCs w:val="28"/>
          <w:highlight w:val="none"/>
          <w:lang w:val="en-US" w:eastAsia="zh-CN" w:bidi="ar-SA"/>
        </w:rPr>
      </w:pPr>
      <w:r>
        <w:rPr>
          <w:rFonts w:hint="eastAsia" w:ascii="Times New Roman" w:hAnsi="Times New Roman" w:eastAsia="宋体" w:cs="Times New Roman"/>
          <w:kern w:val="2"/>
          <w:sz w:val="28"/>
          <w:szCs w:val="28"/>
          <w:highlight w:val="none"/>
          <w:lang w:val="en-US" w:eastAsia="zh-CN" w:bidi="ar-SA"/>
        </w:rPr>
        <w:t>一、谈判响应供应商须知前附表</w:t>
      </w:r>
    </w:p>
    <w:p>
      <w:pPr>
        <w:rPr>
          <w:rFonts w:ascii="Times New Roman" w:hAnsi="Times New Roman" w:eastAsia="宋体" w:cs="Times New Roman"/>
          <w:kern w:val="2"/>
          <w:sz w:val="28"/>
          <w:szCs w:val="28"/>
          <w:highlight w:val="none"/>
          <w:lang w:val="en-US" w:eastAsia="zh-CN" w:bidi="ar-SA"/>
        </w:rPr>
      </w:pPr>
      <w:r>
        <w:rPr>
          <w:rFonts w:hint="eastAsia" w:ascii="Times New Roman" w:hAnsi="Times New Roman" w:eastAsia="宋体" w:cs="Times New Roman"/>
          <w:kern w:val="2"/>
          <w:sz w:val="28"/>
          <w:szCs w:val="28"/>
          <w:highlight w:val="none"/>
          <w:lang w:val="en-US" w:eastAsia="zh-CN" w:bidi="ar-SA"/>
        </w:rPr>
        <w:t>二、谈判响应供应商须知</w:t>
      </w:r>
    </w:p>
    <w:p>
      <w:pPr>
        <w:numPr>
          <w:ilvl w:val="0"/>
          <w:numId w:val="3"/>
        </w:numPr>
        <w:spacing w:line="360" w:lineRule="auto"/>
        <w:ind w:right="42" w:rightChars="20"/>
        <w:jc w:val="left"/>
        <w:rPr>
          <w:rFonts w:hint="eastAsia" w:ascii="Times New Roman" w:hAnsi="Times New Roman" w:eastAsia="宋体" w:cs="Times New Roman"/>
          <w:kern w:val="2"/>
          <w:sz w:val="28"/>
          <w:szCs w:val="28"/>
          <w:highlight w:val="none"/>
          <w:lang w:val="en-US" w:eastAsia="zh-CN" w:bidi="ar-SA"/>
        </w:rPr>
      </w:pPr>
      <w:r>
        <w:rPr>
          <w:rFonts w:hint="eastAsia" w:ascii="Times New Roman" w:hAnsi="Times New Roman" w:eastAsia="宋体" w:cs="Times New Roman"/>
          <w:kern w:val="2"/>
          <w:sz w:val="28"/>
          <w:szCs w:val="28"/>
          <w:highlight w:val="none"/>
          <w:lang w:val="en-US" w:eastAsia="zh-CN" w:bidi="ar-SA"/>
        </w:rPr>
        <w:t>总则</w:t>
      </w:r>
    </w:p>
    <w:p>
      <w:pPr>
        <w:numPr>
          <w:ilvl w:val="0"/>
          <w:numId w:val="3"/>
        </w:numPr>
        <w:spacing w:line="360" w:lineRule="auto"/>
        <w:ind w:right="42" w:rightChars="20"/>
        <w:jc w:val="left"/>
        <w:rPr>
          <w:rFonts w:hint="eastAsia" w:ascii="宋体" w:hAnsi="宋体" w:cs="宋体"/>
          <w:bCs/>
          <w:sz w:val="28"/>
          <w:szCs w:val="28"/>
        </w:rPr>
      </w:pPr>
      <w:r>
        <w:rPr>
          <w:rFonts w:hint="eastAsia" w:ascii="宋体" w:hAnsi="宋体" w:cs="宋体"/>
          <w:bCs/>
          <w:sz w:val="28"/>
          <w:szCs w:val="28"/>
        </w:rPr>
        <w:t>竞争性谈判文件</w:t>
      </w:r>
    </w:p>
    <w:p>
      <w:pPr>
        <w:numPr>
          <w:ilvl w:val="0"/>
          <w:numId w:val="3"/>
        </w:numPr>
        <w:spacing w:line="360" w:lineRule="auto"/>
        <w:ind w:right="42" w:rightChars="20"/>
        <w:jc w:val="left"/>
        <w:rPr>
          <w:rFonts w:hint="eastAsia" w:ascii="宋体" w:hAnsi="宋体" w:cs="宋体"/>
          <w:bCs/>
          <w:sz w:val="28"/>
          <w:szCs w:val="28"/>
        </w:rPr>
      </w:pPr>
      <w:r>
        <w:rPr>
          <w:rFonts w:hint="eastAsia" w:ascii="宋体" w:hAnsi="宋体" w:cs="宋体"/>
          <w:bCs/>
          <w:sz w:val="28"/>
          <w:szCs w:val="28"/>
        </w:rPr>
        <w:t>供应商</w:t>
      </w:r>
    </w:p>
    <w:p>
      <w:pPr>
        <w:numPr>
          <w:ilvl w:val="0"/>
          <w:numId w:val="3"/>
        </w:numPr>
        <w:spacing w:line="360" w:lineRule="auto"/>
        <w:ind w:right="42" w:rightChars="20"/>
        <w:jc w:val="left"/>
        <w:rPr>
          <w:rFonts w:hint="eastAsia" w:ascii="宋体" w:hAnsi="宋体" w:cs="宋体"/>
          <w:sz w:val="28"/>
          <w:szCs w:val="28"/>
        </w:rPr>
      </w:pPr>
      <w:r>
        <w:rPr>
          <w:rFonts w:hint="eastAsia" w:ascii="宋体" w:hAnsi="宋体" w:cs="宋体"/>
          <w:bCs/>
          <w:sz w:val="28"/>
          <w:szCs w:val="28"/>
        </w:rPr>
        <w:t>谈判响应书的编制</w:t>
      </w:r>
    </w:p>
    <w:p>
      <w:pPr>
        <w:numPr>
          <w:ilvl w:val="0"/>
          <w:numId w:val="3"/>
        </w:numPr>
        <w:spacing w:line="360" w:lineRule="auto"/>
        <w:ind w:right="42" w:rightChars="20"/>
        <w:jc w:val="left"/>
        <w:rPr>
          <w:rFonts w:hint="eastAsia" w:ascii="宋体" w:hAnsi="宋体" w:cs="宋体"/>
          <w:sz w:val="28"/>
          <w:szCs w:val="28"/>
        </w:rPr>
      </w:pPr>
      <w:r>
        <w:rPr>
          <w:rFonts w:hint="eastAsia" w:ascii="宋体" w:hAnsi="宋体" w:cs="宋体"/>
          <w:bCs/>
          <w:sz w:val="28"/>
          <w:szCs w:val="28"/>
        </w:rPr>
        <w:t>谈判响应书的递交</w:t>
      </w:r>
    </w:p>
    <w:p>
      <w:pPr>
        <w:numPr>
          <w:ilvl w:val="0"/>
          <w:numId w:val="3"/>
        </w:numPr>
        <w:spacing w:line="360" w:lineRule="auto"/>
        <w:ind w:right="42" w:rightChars="20"/>
        <w:jc w:val="left"/>
        <w:rPr>
          <w:rFonts w:hint="eastAsia" w:ascii="宋体" w:hAnsi="宋体" w:cs="宋体"/>
          <w:sz w:val="28"/>
          <w:szCs w:val="28"/>
        </w:rPr>
      </w:pPr>
      <w:r>
        <w:rPr>
          <w:rFonts w:hint="eastAsia" w:ascii="宋体" w:hAnsi="宋体" w:cs="宋体"/>
          <w:bCs/>
          <w:sz w:val="28"/>
          <w:szCs w:val="28"/>
        </w:rPr>
        <w:t>开标现场</w:t>
      </w:r>
    </w:p>
    <w:p>
      <w:pPr>
        <w:numPr>
          <w:ilvl w:val="0"/>
          <w:numId w:val="3"/>
        </w:numPr>
        <w:spacing w:line="360" w:lineRule="auto"/>
        <w:ind w:right="42" w:rightChars="20"/>
        <w:jc w:val="left"/>
        <w:rPr>
          <w:rFonts w:hint="eastAsia" w:ascii="宋体" w:hAnsi="宋体" w:cs="宋体"/>
          <w:sz w:val="28"/>
          <w:szCs w:val="28"/>
        </w:rPr>
      </w:pPr>
      <w:r>
        <w:rPr>
          <w:rFonts w:hint="eastAsia" w:ascii="宋体" w:hAnsi="宋体" w:cs="宋体"/>
          <w:bCs/>
          <w:sz w:val="28"/>
          <w:szCs w:val="28"/>
        </w:rPr>
        <w:t>谈判与评审</w:t>
      </w:r>
    </w:p>
    <w:p>
      <w:pPr>
        <w:numPr>
          <w:ilvl w:val="0"/>
          <w:numId w:val="3"/>
        </w:numPr>
        <w:spacing w:line="360" w:lineRule="auto"/>
        <w:ind w:right="42" w:rightChars="20"/>
        <w:jc w:val="left"/>
        <w:rPr>
          <w:rFonts w:hint="eastAsia" w:ascii="宋体" w:hAnsi="宋体" w:cs="宋体"/>
          <w:sz w:val="28"/>
          <w:szCs w:val="28"/>
        </w:rPr>
      </w:pPr>
      <w:r>
        <w:rPr>
          <w:rFonts w:hint="eastAsia" w:ascii="宋体" w:hAnsi="宋体" w:cs="宋体"/>
          <w:bCs/>
          <w:sz w:val="28"/>
          <w:szCs w:val="28"/>
        </w:rPr>
        <w:t>废标</w:t>
      </w:r>
    </w:p>
    <w:p>
      <w:pPr>
        <w:numPr>
          <w:ilvl w:val="0"/>
          <w:numId w:val="3"/>
        </w:numPr>
        <w:spacing w:line="360" w:lineRule="auto"/>
        <w:ind w:right="42" w:rightChars="20"/>
        <w:jc w:val="left"/>
        <w:rPr>
          <w:rFonts w:hint="eastAsia" w:ascii="宋体" w:hAnsi="宋体" w:cs="宋体"/>
          <w:sz w:val="28"/>
          <w:szCs w:val="28"/>
        </w:rPr>
      </w:pPr>
      <w:r>
        <w:rPr>
          <w:rFonts w:hint="eastAsia" w:ascii="宋体" w:hAnsi="宋体" w:cs="宋体"/>
          <w:bCs/>
          <w:sz w:val="28"/>
          <w:szCs w:val="28"/>
        </w:rPr>
        <w:t>评标办法</w:t>
      </w:r>
    </w:p>
    <w:p>
      <w:pPr>
        <w:numPr>
          <w:ilvl w:val="0"/>
          <w:numId w:val="3"/>
        </w:numPr>
        <w:spacing w:line="360" w:lineRule="auto"/>
        <w:ind w:right="42" w:rightChars="20"/>
        <w:jc w:val="left"/>
        <w:rPr>
          <w:rFonts w:hint="eastAsia" w:ascii="宋体" w:hAnsi="宋体" w:cs="宋体"/>
          <w:sz w:val="28"/>
          <w:szCs w:val="28"/>
        </w:rPr>
      </w:pPr>
      <w:r>
        <w:rPr>
          <w:rFonts w:hint="eastAsia" w:ascii="宋体" w:hAnsi="宋体" w:cs="宋体"/>
          <w:bCs/>
          <w:sz w:val="28"/>
          <w:szCs w:val="28"/>
        </w:rPr>
        <w:t>合同的签订、履行及验收</w:t>
      </w:r>
    </w:p>
    <w:p>
      <w:pPr>
        <w:numPr>
          <w:ilvl w:val="0"/>
          <w:numId w:val="3"/>
        </w:numPr>
        <w:spacing w:line="360" w:lineRule="auto"/>
        <w:ind w:right="42" w:rightChars="20"/>
        <w:jc w:val="left"/>
        <w:rPr>
          <w:rFonts w:hint="eastAsia" w:ascii="宋体" w:hAnsi="宋体" w:cs="宋体"/>
          <w:sz w:val="28"/>
          <w:szCs w:val="28"/>
        </w:rPr>
      </w:pPr>
      <w:r>
        <w:rPr>
          <w:rFonts w:hint="eastAsia" w:ascii="宋体" w:hAnsi="宋体" w:cs="宋体"/>
          <w:bCs/>
          <w:sz w:val="28"/>
          <w:szCs w:val="28"/>
        </w:rPr>
        <w:t>质疑和投诉</w:t>
      </w:r>
    </w:p>
    <w:p>
      <w:pPr>
        <w:rPr>
          <w:rFonts w:hint="eastAsia" w:ascii="Times New Roman" w:hAnsi="Times New Roman" w:eastAsia="宋体" w:cs="Times New Roman"/>
          <w:kern w:val="2"/>
          <w:sz w:val="28"/>
          <w:szCs w:val="28"/>
          <w:highlight w:val="none"/>
          <w:lang w:val="en-US" w:eastAsia="zh-CN" w:bidi="ar-SA"/>
        </w:rPr>
      </w:pPr>
      <w:r>
        <w:rPr>
          <w:rFonts w:hint="eastAsia" w:ascii="Times New Roman" w:hAnsi="Times New Roman" w:eastAsia="宋体" w:cs="Times New Roman"/>
          <w:kern w:val="2"/>
          <w:sz w:val="28"/>
          <w:szCs w:val="28"/>
          <w:highlight w:val="none"/>
          <w:lang w:val="en-US" w:eastAsia="zh-CN" w:bidi="ar-SA"/>
        </w:rPr>
        <w:t>三、项目需求</w:t>
      </w:r>
    </w:p>
    <w:p>
      <w:pPr>
        <w:pStyle w:val="16"/>
        <w:tabs>
          <w:tab w:val="left" w:pos="1050"/>
          <w:tab w:val="right" w:leader="dot" w:pos="8296"/>
        </w:tabs>
        <w:spacing w:line="540" w:lineRule="exact"/>
        <w:rPr>
          <w:sz w:val="28"/>
          <w:szCs w:val="28"/>
          <w:highlight w:val="none"/>
        </w:rPr>
      </w:pPr>
      <w:r>
        <w:rPr>
          <w:highlight w:val="none"/>
        </w:rPr>
        <w:fldChar w:fldCharType="begin"/>
      </w:r>
      <w:r>
        <w:rPr>
          <w:highlight w:val="none"/>
        </w:rPr>
        <w:instrText xml:space="preserve"> HYPERLINK \l "_Toc383776351" </w:instrText>
      </w:r>
      <w:r>
        <w:rPr>
          <w:highlight w:val="none"/>
        </w:rPr>
        <w:fldChar w:fldCharType="separate"/>
      </w:r>
      <w:r>
        <w:rPr>
          <w:rStyle w:val="26"/>
          <w:rFonts w:hint="eastAsia"/>
          <w:sz w:val="28"/>
          <w:szCs w:val="28"/>
          <w:highlight w:val="none"/>
        </w:rPr>
        <w:t>第二章</w:t>
      </w:r>
      <w:r>
        <w:rPr>
          <w:sz w:val="28"/>
          <w:szCs w:val="28"/>
          <w:highlight w:val="none"/>
        </w:rPr>
        <w:tab/>
      </w:r>
      <w:r>
        <w:rPr>
          <w:rStyle w:val="26"/>
          <w:rFonts w:hint="eastAsia"/>
          <w:sz w:val="28"/>
          <w:szCs w:val="28"/>
          <w:highlight w:val="none"/>
        </w:rPr>
        <w:t>谈判响应书</w:t>
      </w:r>
      <w:r>
        <w:rPr>
          <w:rStyle w:val="26"/>
          <w:rFonts w:hint="eastAsia"/>
          <w:sz w:val="28"/>
          <w:szCs w:val="28"/>
          <w:highlight w:val="none"/>
        </w:rPr>
        <w:fldChar w:fldCharType="end"/>
      </w:r>
    </w:p>
    <w:p>
      <w:pPr>
        <w:pStyle w:val="36"/>
        <w:tabs>
          <w:tab w:val="right" w:leader="dot" w:pos="8296"/>
        </w:tabs>
        <w:spacing w:line="480" w:lineRule="auto"/>
        <w:rPr>
          <w:rStyle w:val="34"/>
          <w:rFonts w:ascii="宋体" w:hAnsi="宋体"/>
          <w:sz w:val="28"/>
          <w:szCs w:val="28"/>
          <w:highlight w:val="none"/>
        </w:rPr>
      </w:pPr>
      <w:r>
        <w:rPr>
          <w:rStyle w:val="34"/>
          <w:rFonts w:hint="eastAsia" w:ascii="宋体" w:hAnsi="宋体"/>
          <w:sz w:val="28"/>
          <w:szCs w:val="28"/>
          <w:highlight w:val="none"/>
        </w:rPr>
        <w:t>（一）资格、技术及商务部分</w:t>
      </w:r>
    </w:p>
    <w:p>
      <w:pPr>
        <w:pStyle w:val="36"/>
        <w:tabs>
          <w:tab w:val="right" w:leader="dot" w:pos="8296"/>
        </w:tabs>
        <w:spacing w:line="480" w:lineRule="auto"/>
        <w:rPr>
          <w:rStyle w:val="34"/>
          <w:rFonts w:ascii="宋体" w:hAnsi="宋体"/>
          <w:sz w:val="28"/>
          <w:szCs w:val="28"/>
          <w:highlight w:val="none"/>
        </w:rPr>
      </w:pPr>
      <w:r>
        <w:rPr>
          <w:rStyle w:val="34"/>
          <w:rFonts w:hint="eastAsia" w:ascii="宋体" w:hAnsi="宋体"/>
          <w:sz w:val="28"/>
          <w:szCs w:val="28"/>
          <w:highlight w:val="none"/>
        </w:rPr>
        <w:t>（二）报价部分</w:t>
      </w:r>
    </w:p>
    <w:p>
      <w:pPr>
        <w:rPr>
          <w:highlight w:val="none"/>
        </w:rPr>
      </w:pPr>
    </w:p>
    <w:p>
      <w:pPr>
        <w:pStyle w:val="17"/>
        <w:tabs>
          <w:tab w:val="right" w:leader="dot" w:pos="8296"/>
        </w:tabs>
        <w:spacing w:line="540" w:lineRule="exact"/>
        <w:rPr>
          <w:sz w:val="28"/>
          <w:szCs w:val="28"/>
          <w:highlight w:val="none"/>
        </w:rPr>
      </w:pPr>
    </w:p>
    <w:p>
      <w:pPr>
        <w:pStyle w:val="17"/>
        <w:tabs>
          <w:tab w:val="right" w:leader="dot" w:pos="8296"/>
        </w:tabs>
        <w:spacing w:line="540" w:lineRule="exact"/>
        <w:rPr>
          <w:sz w:val="28"/>
          <w:szCs w:val="28"/>
          <w:highlight w:val="none"/>
        </w:rPr>
      </w:pPr>
    </w:p>
    <w:p>
      <w:pPr>
        <w:pStyle w:val="3"/>
        <w:shd w:val="clear" w:color="auto" w:fill="FFFFFF"/>
        <w:spacing w:before="0" w:after="0" w:line="540" w:lineRule="exact"/>
        <w:jc w:val="center"/>
        <w:rPr>
          <w:rFonts w:ascii="宋体" w:hAnsi="宋体" w:cs="Arial"/>
          <w:sz w:val="28"/>
          <w:szCs w:val="28"/>
          <w:highlight w:val="none"/>
        </w:rPr>
      </w:pPr>
      <w:r>
        <w:rPr>
          <w:rFonts w:ascii="宋体" w:hAnsi="宋体" w:cs="Arial"/>
          <w:sz w:val="28"/>
          <w:szCs w:val="28"/>
          <w:highlight w:val="none"/>
        </w:rPr>
        <w:fldChar w:fldCharType="end"/>
      </w:r>
    </w:p>
    <w:p>
      <w:pPr>
        <w:rPr>
          <w:highlight w:val="none"/>
        </w:rPr>
      </w:pPr>
      <w:r>
        <w:rPr>
          <w:highlight w:val="none"/>
        </w:rPr>
        <w:br w:type="page"/>
      </w:r>
    </w:p>
    <w:p>
      <w:pPr>
        <w:spacing w:line="360" w:lineRule="auto"/>
        <w:jc w:val="center"/>
        <w:rPr>
          <w:b/>
          <w:sz w:val="32"/>
          <w:szCs w:val="32"/>
          <w:highlight w:val="none"/>
        </w:rPr>
      </w:pPr>
      <w:r>
        <w:rPr>
          <w:rFonts w:hint="eastAsia" w:ascii="宋体" w:hAnsi="宋体" w:cs="华文仿宋"/>
          <w:b/>
          <w:sz w:val="32"/>
          <w:szCs w:val="32"/>
          <w:highlight w:val="none"/>
        </w:rPr>
        <w:t xml:space="preserve">第一章  </w:t>
      </w:r>
      <w:bookmarkStart w:id="3" w:name="_Toc383776341"/>
      <w:r>
        <w:rPr>
          <w:rFonts w:hint="eastAsia"/>
          <w:b/>
          <w:sz w:val="32"/>
          <w:szCs w:val="32"/>
          <w:highlight w:val="none"/>
        </w:rPr>
        <w:t>竞争性谈判书</w:t>
      </w:r>
      <w:bookmarkEnd w:id="0"/>
      <w:bookmarkEnd w:id="1"/>
      <w:bookmarkEnd w:id="2"/>
      <w:bookmarkEnd w:id="3"/>
    </w:p>
    <w:p>
      <w:pPr>
        <w:pStyle w:val="28"/>
        <w:spacing w:line="360" w:lineRule="auto"/>
        <w:rPr>
          <w:b/>
          <w:highlight w:val="none"/>
        </w:rPr>
      </w:pPr>
      <w:bookmarkStart w:id="4" w:name="_Toc383776342"/>
      <w:bookmarkStart w:id="5" w:name="_Toc272141464"/>
      <w:bookmarkStart w:id="6" w:name="_Toc338398713"/>
      <w:r>
        <w:rPr>
          <w:rFonts w:hint="eastAsia"/>
          <w:b/>
          <w:highlight w:val="none"/>
        </w:rPr>
        <w:t>一、谈判响应供应商须知前附表</w:t>
      </w:r>
      <w:bookmarkEnd w:id="4"/>
      <w:bookmarkEnd w:id="5"/>
      <w:bookmarkEnd w:id="6"/>
    </w:p>
    <w:tbl>
      <w:tblPr>
        <w:tblStyle w:val="20"/>
        <w:tblW w:w="96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7"/>
        <w:gridCol w:w="2354"/>
        <w:gridCol w:w="66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1" w:hRule="atLeast"/>
          <w:jc w:val="center"/>
        </w:trPr>
        <w:tc>
          <w:tcPr>
            <w:tcW w:w="727" w:type="dxa"/>
            <w:vAlign w:val="center"/>
          </w:tcPr>
          <w:p>
            <w:pPr>
              <w:pStyle w:val="29"/>
              <w:spacing w:line="280" w:lineRule="exact"/>
              <w:jc w:val="center"/>
              <w:rPr>
                <w:rFonts w:cs="华文仿宋"/>
                <w:highlight w:val="none"/>
                <w:lang w:val="zh-CN"/>
              </w:rPr>
            </w:pPr>
            <w:r>
              <w:rPr>
                <w:rFonts w:hint="eastAsia" w:cs="华文仿宋"/>
                <w:highlight w:val="none"/>
                <w:lang w:val="zh-CN"/>
              </w:rPr>
              <w:t>序号</w:t>
            </w:r>
          </w:p>
        </w:tc>
        <w:tc>
          <w:tcPr>
            <w:tcW w:w="2354" w:type="dxa"/>
            <w:vAlign w:val="center"/>
          </w:tcPr>
          <w:p>
            <w:pPr>
              <w:pStyle w:val="29"/>
              <w:spacing w:line="280" w:lineRule="exact"/>
              <w:ind w:left="38"/>
              <w:jc w:val="center"/>
              <w:rPr>
                <w:rFonts w:cs="华文仿宋"/>
                <w:highlight w:val="none"/>
                <w:lang w:val="zh-CN"/>
              </w:rPr>
            </w:pPr>
            <w:r>
              <w:rPr>
                <w:rFonts w:hint="eastAsia" w:cs="华文仿宋"/>
                <w:highlight w:val="none"/>
                <w:lang w:val="zh-CN"/>
              </w:rPr>
              <w:t>条款名称</w:t>
            </w:r>
          </w:p>
        </w:tc>
        <w:tc>
          <w:tcPr>
            <w:tcW w:w="6602" w:type="dxa"/>
            <w:vAlign w:val="center"/>
          </w:tcPr>
          <w:p>
            <w:pPr>
              <w:pStyle w:val="29"/>
              <w:spacing w:line="280" w:lineRule="exact"/>
              <w:jc w:val="center"/>
              <w:rPr>
                <w:rFonts w:cs="华文仿宋"/>
                <w:b/>
                <w:highlight w:val="none"/>
                <w:lang w:val="zh-CN"/>
              </w:rPr>
            </w:pPr>
            <w:r>
              <w:rPr>
                <w:rFonts w:hint="eastAsia" w:cs="华文仿宋"/>
                <w:bCs/>
                <w:highlight w:val="none"/>
                <w:lang w:val="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727" w:type="dxa"/>
            <w:vAlign w:val="center"/>
          </w:tcPr>
          <w:p>
            <w:pPr>
              <w:pStyle w:val="29"/>
              <w:spacing w:line="280" w:lineRule="exact"/>
              <w:jc w:val="center"/>
              <w:rPr>
                <w:rFonts w:cs="华文仿宋"/>
                <w:highlight w:val="none"/>
                <w:lang w:val="zh-CN"/>
              </w:rPr>
            </w:pPr>
            <w:r>
              <w:rPr>
                <w:rFonts w:hint="eastAsia" w:cs="华文仿宋"/>
                <w:highlight w:val="none"/>
                <w:lang w:val="zh-CN"/>
              </w:rPr>
              <w:t>1</w:t>
            </w:r>
          </w:p>
        </w:tc>
        <w:tc>
          <w:tcPr>
            <w:tcW w:w="2354" w:type="dxa"/>
            <w:vAlign w:val="center"/>
          </w:tcPr>
          <w:p>
            <w:pPr>
              <w:spacing w:line="360" w:lineRule="auto"/>
              <w:jc w:val="center"/>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资格审查资料</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具体见谈判公告，复印件加盖公章放入投标文件中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727" w:type="dxa"/>
            <w:vAlign w:val="center"/>
          </w:tcPr>
          <w:p>
            <w:pPr>
              <w:pStyle w:val="29"/>
              <w:spacing w:line="280" w:lineRule="exact"/>
              <w:jc w:val="center"/>
              <w:rPr>
                <w:rFonts w:cs="华文仿宋"/>
                <w:highlight w:val="none"/>
                <w:lang w:val="zh-CN"/>
              </w:rPr>
            </w:pPr>
            <w:r>
              <w:rPr>
                <w:rFonts w:hint="eastAsia" w:cs="华文仿宋"/>
                <w:highlight w:val="none"/>
                <w:lang w:val="zh-CN"/>
              </w:rPr>
              <w:t>2</w:t>
            </w:r>
          </w:p>
        </w:tc>
        <w:tc>
          <w:tcPr>
            <w:tcW w:w="2354" w:type="dxa"/>
            <w:vAlign w:val="center"/>
          </w:tcPr>
          <w:p>
            <w:pPr>
              <w:spacing w:line="360" w:lineRule="auto"/>
              <w:jc w:val="center"/>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eastAsia="zh-CN"/>
              </w:rPr>
              <w:t>项目预算</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399684.01元人民币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727" w:type="dxa"/>
            <w:vAlign w:val="center"/>
          </w:tcPr>
          <w:p>
            <w:pPr>
              <w:pStyle w:val="29"/>
              <w:spacing w:line="280" w:lineRule="exact"/>
              <w:jc w:val="center"/>
              <w:rPr>
                <w:rFonts w:cs="华文仿宋"/>
                <w:highlight w:val="none"/>
                <w:lang w:val="zh-CN"/>
              </w:rPr>
            </w:pPr>
            <w:r>
              <w:rPr>
                <w:rFonts w:hint="eastAsia" w:cs="华文仿宋"/>
                <w:highlight w:val="none"/>
                <w:lang w:val="zh-CN"/>
              </w:rPr>
              <w:t>3</w:t>
            </w:r>
          </w:p>
        </w:tc>
        <w:tc>
          <w:tcPr>
            <w:tcW w:w="2354" w:type="dxa"/>
            <w:vAlign w:val="center"/>
          </w:tcPr>
          <w:p>
            <w:pPr>
              <w:spacing w:line="360" w:lineRule="auto"/>
              <w:jc w:val="center"/>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采购方式</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727" w:type="dxa"/>
            <w:vAlign w:val="center"/>
          </w:tcPr>
          <w:p>
            <w:pPr>
              <w:pStyle w:val="29"/>
              <w:spacing w:line="280" w:lineRule="exact"/>
              <w:jc w:val="center"/>
              <w:rPr>
                <w:rFonts w:cs="华文仿宋"/>
                <w:highlight w:val="none"/>
                <w:lang w:val="zh-CN"/>
              </w:rPr>
            </w:pPr>
            <w:r>
              <w:rPr>
                <w:rFonts w:hint="eastAsia" w:cs="华文仿宋"/>
                <w:highlight w:val="none"/>
                <w:lang w:val="zh-CN"/>
              </w:rPr>
              <w:t>4</w:t>
            </w:r>
          </w:p>
        </w:tc>
        <w:tc>
          <w:tcPr>
            <w:tcW w:w="2354" w:type="dxa"/>
            <w:vAlign w:val="center"/>
          </w:tcPr>
          <w:p>
            <w:pPr>
              <w:spacing w:line="360" w:lineRule="auto"/>
              <w:jc w:val="center"/>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是否接受联合体</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5" w:hRule="atLeast"/>
          <w:jc w:val="center"/>
        </w:trPr>
        <w:tc>
          <w:tcPr>
            <w:tcW w:w="727" w:type="dxa"/>
            <w:vAlign w:val="center"/>
          </w:tcPr>
          <w:p>
            <w:pPr>
              <w:pStyle w:val="29"/>
              <w:spacing w:line="280" w:lineRule="exact"/>
              <w:jc w:val="center"/>
              <w:rPr>
                <w:rFonts w:cs="华文仿宋"/>
                <w:highlight w:val="none"/>
              </w:rPr>
            </w:pPr>
            <w:r>
              <w:rPr>
                <w:rFonts w:hint="eastAsia" w:cs="华文仿宋"/>
                <w:highlight w:val="none"/>
              </w:rPr>
              <w:t>5</w:t>
            </w:r>
          </w:p>
        </w:tc>
        <w:tc>
          <w:tcPr>
            <w:tcW w:w="2354" w:type="dxa"/>
            <w:vAlign w:val="center"/>
          </w:tcPr>
          <w:p>
            <w:pPr>
              <w:spacing w:line="360" w:lineRule="auto"/>
              <w:jc w:val="center"/>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是否接受分包履约</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8" w:hRule="atLeast"/>
          <w:jc w:val="center"/>
        </w:trPr>
        <w:tc>
          <w:tcPr>
            <w:tcW w:w="727" w:type="dxa"/>
            <w:vAlign w:val="center"/>
          </w:tcPr>
          <w:p>
            <w:pPr>
              <w:pStyle w:val="29"/>
              <w:spacing w:line="280" w:lineRule="exact"/>
              <w:jc w:val="center"/>
              <w:rPr>
                <w:rFonts w:cs="华文仿宋"/>
                <w:highlight w:val="none"/>
                <w:lang w:val="zh-CN"/>
              </w:rPr>
            </w:pPr>
            <w:r>
              <w:rPr>
                <w:rFonts w:hint="eastAsia" w:cs="华文仿宋"/>
                <w:highlight w:val="none"/>
              </w:rPr>
              <w:t>6</w:t>
            </w:r>
          </w:p>
        </w:tc>
        <w:tc>
          <w:tcPr>
            <w:tcW w:w="2354" w:type="dxa"/>
            <w:vAlign w:val="center"/>
          </w:tcPr>
          <w:p>
            <w:pPr>
              <w:spacing w:line="360" w:lineRule="auto"/>
              <w:jc w:val="center"/>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谈判及响应截止时间</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具体见谈判公告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pStyle w:val="29"/>
              <w:spacing w:line="280" w:lineRule="exact"/>
              <w:jc w:val="center"/>
              <w:rPr>
                <w:rFonts w:cs="华文仿宋"/>
                <w:highlight w:val="none"/>
                <w:lang w:val="zh-CN"/>
              </w:rPr>
            </w:pPr>
            <w:r>
              <w:rPr>
                <w:rFonts w:hint="eastAsia" w:cs="华文仿宋"/>
                <w:highlight w:val="none"/>
              </w:rPr>
              <w:t>7</w:t>
            </w:r>
          </w:p>
        </w:tc>
        <w:tc>
          <w:tcPr>
            <w:tcW w:w="2354" w:type="dxa"/>
            <w:vAlign w:val="center"/>
          </w:tcPr>
          <w:p>
            <w:pPr>
              <w:spacing w:line="360" w:lineRule="auto"/>
              <w:jc w:val="center"/>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谈判及谈判响应书递交地点</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具体见谈判公告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pStyle w:val="29"/>
              <w:spacing w:line="280" w:lineRule="exact"/>
              <w:jc w:val="center"/>
              <w:rPr>
                <w:rFonts w:cs="华文仿宋"/>
                <w:highlight w:val="none"/>
              </w:rPr>
            </w:pPr>
            <w:r>
              <w:rPr>
                <w:rFonts w:hint="eastAsia" w:cs="华文仿宋"/>
                <w:highlight w:val="none"/>
              </w:rPr>
              <w:t>8</w:t>
            </w:r>
          </w:p>
        </w:tc>
        <w:tc>
          <w:tcPr>
            <w:tcW w:w="2354" w:type="dxa"/>
            <w:vAlign w:val="center"/>
          </w:tcPr>
          <w:p>
            <w:pPr>
              <w:spacing w:line="360" w:lineRule="auto"/>
              <w:jc w:val="center"/>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eastAsia="zh-CN"/>
              </w:rPr>
              <w:t>勘察现场的要求</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投标人自行对服务现场和周围环境进行勘察，以获取编制谈判文件和签署合同所需的资料。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pStyle w:val="29"/>
              <w:spacing w:line="280" w:lineRule="exact"/>
              <w:jc w:val="center"/>
              <w:rPr>
                <w:rFonts w:cs="华文仿宋"/>
                <w:highlight w:val="none"/>
                <w:lang w:val="zh-CN"/>
              </w:rPr>
            </w:pPr>
            <w:r>
              <w:rPr>
                <w:rFonts w:hint="eastAsia" w:cs="华文仿宋"/>
                <w:highlight w:val="none"/>
              </w:rPr>
              <w:t>9</w:t>
            </w:r>
          </w:p>
        </w:tc>
        <w:tc>
          <w:tcPr>
            <w:tcW w:w="2354" w:type="dxa"/>
            <w:vAlign w:val="center"/>
          </w:tcPr>
          <w:p>
            <w:pPr>
              <w:pStyle w:val="29"/>
              <w:spacing w:line="280" w:lineRule="exact"/>
              <w:jc w:val="center"/>
              <w:rPr>
                <w:rFonts w:hint="eastAsia" w:ascii="宋体" w:hAnsi="宋体" w:eastAsia="宋体" w:cs="华文仿宋"/>
                <w:highlight w:val="none"/>
                <w:lang w:val="zh-CN"/>
              </w:rPr>
            </w:pPr>
            <w:r>
              <w:rPr>
                <w:rFonts w:hint="eastAsia" w:ascii="宋体" w:hAnsi="宋体" w:eastAsia="宋体" w:cs="华文仿宋"/>
                <w:highlight w:val="none"/>
                <w:lang w:val="zh-CN"/>
              </w:rPr>
              <w:t>工期</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合同签订之日起45日。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pStyle w:val="29"/>
              <w:spacing w:line="280" w:lineRule="exact"/>
              <w:jc w:val="center"/>
              <w:rPr>
                <w:rFonts w:cs="华文仿宋"/>
                <w:highlight w:val="none"/>
                <w:lang w:val="zh-CN"/>
              </w:rPr>
            </w:pPr>
            <w:r>
              <w:rPr>
                <w:rFonts w:hint="eastAsia" w:cs="华文仿宋"/>
                <w:highlight w:val="none"/>
                <w:lang w:val="zh-CN"/>
              </w:rPr>
              <w:t>10</w:t>
            </w:r>
          </w:p>
        </w:tc>
        <w:tc>
          <w:tcPr>
            <w:tcW w:w="2354" w:type="dxa"/>
            <w:vAlign w:val="center"/>
          </w:tcPr>
          <w:p>
            <w:pPr>
              <w:pStyle w:val="29"/>
              <w:spacing w:line="280" w:lineRule="exact"/>
              <w:jc w:val="center"/>
              <w:rPr>
                <w:rFonts w:hint="eastAsia" w:ascii="宋体" w:hAnsi="宋体" w:eastAsia="宋体" w:cs="华文仿宋"/>
                <w:highlight w:val="none"/>
                <w:lang w:val="zh-CN"/>
              </w:rPr>
            </w:pPr>
            <w:r>
              <w:rPr>
                <w:rFonts w:hint="eastAsia" w:ascii="宋体" w:hAnsi="宋体" w:eastAsia="宋体" w:cs="华文仿宋"/>
                <w:highlight w:val="none"/>
              </w:rPr>
              <w:t>投标文件份数</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纸质文件：正本 1 份，副本 2份；</w:t>
            </w:r>
          </w:p>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电子件（</w:t>
            </w:r>
            <w:r>
              <w:rPr>
                <w:rFonts w:hint="eastAsia" w:ascii="宋体" w:hAnsi="宋体" w:eastAsia="宋体" w:cs="宋体"/>
                <w:color w:val="auto"/>
                <w:sz w:val="24"/>
                <w:lang w:val="en-US" w:eastAsia="zh-CN"/>
              </w:rPr>
              <w:t>U盘</w:t>
            </w:r>
            <w:r>
              <w:rPr>
                <w:rFonts w:hint="eastAsia" w:ascii="宋体" w:hAnsi="宋体" w:eastAsia="宋体" w:cs="宋体"/>
                <w:color w:val="auto"/>
                <w:sz w:val="24"/>
                <w:lang w:val="zh-CN" w:eastAsia="zh-CN"/>
              </w:rPr>
              <w:t>）：正本盖章后扫描件电子件（</w:t>
            </w:r>
            <w:r>
              <w:rPr>
                <w:rFonts w:hint="eastAsia" w:ascii="宋体" w:hAnsi="宋体" w:eastAsia="宋体" w:cs="宋体"/>
                <w:color w:val="auto"/>
                <w:sz w:val="24"/>
                <w:lang w:val="en-US" w:eastAsia="zh-CN"/>
              </w:rPr>
              <w:t>U盘</w:t>
            </w:r>
            <w:r>
              <w:rPr>
                <w:rFonts w:hint="eastAsia" w:ascii="宋体" w:hAnsi="宋体" w:eastAsia="宋体" w:cs="宋体"/>
                <w:color w:val="auto"/>
                <w:sz w:val="24"/>
                <w:lang w:val="zh-CN" w:eastAsia="zh-CN"/>
              </w:rPr>
              <w:t>）一份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spacing w:line="280" w:lineRule="exact"/>
              <w:jc w:val="center"/>
              <w:rPr>
                <w:rFonts w:ascii="宋体" w:hAnsi="宋体" w:cs="华文仿宋"/>
                <w:kern w:val="0"/>
                <w:sz w:val="24"/>
                <w:highlight w:val="none"/>
                <w:lang w:val="zh-CN"/>
              </w:rPr>
            </w:pPr>
            <w:r>
              <w:rPr>
                <w:rFonts w:hint="eastAsia" w:ascii="宋体" w:hAnsi="宋体" w:cs="华文仿宋"/>
                <w:kern w:val="0"/>
                <w:sz w:val="24"/>
                <w:highlight w:val="none"/>
                <w:lang w:val="zh-CN"/>
              </w:rPr>
              <w:t>11</w:t>
            </w:r>
          </w:p>
        </w:tc>
        <w:tc>
          <w:tcPr>
            <w:tcW w:w="2354" w:type="dxa"/>
            <w:vAlign w:val="center"/>
          </w:tcPr>
          <w:p>
            <w:pPr>
              <w:pStyle w:val="29"/>
              <w:spacing w:line="280" w:lineRule="exact"/>
              <w:jc w:val="center"/>
              <w:rPr>
                <w:rFonts w:hint="eastAsia" w:ascii="宋体" w:hAnsi="宋体" w:eastAsia="宋体" w:cs="华文仿宋"/>
                <w:highlight w:val="none"/>
                <w:lang w:val="zh-CN"/>
              </w:rPr>
            </w:pPr>
            <w:r>
              <w:rPr>
                <w:rFonts w:hint="eastAsia" w:ascii="宋体" w:hAnsi="宋体" w:eastAsia="宋体" w:cs="华文仿宋"/>
                <w:highlight w:val="none"/>
                <w:lang w:val="zh-CN"/>
              </w:rPr>
              <w:t>付款方式</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预付款40%，余下在工程验收合格后支付。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spacing w:line="280" w:lineRule="exact"/>
              <w:jc w:val="center"/>
              <w:rPr>
                <w:rFonts w:ascii="宋体" w:hAnsi="宋体" w:cs="华文仿宋"/>
                <w:sz w:val="24"/>
                <w:highlight w:val="none"/>
              </w:rPr>
            </w:pPr>
            <w:r>
              <w:rPr>
                <w:rFonts w:hint="eastAsia" w:ascii="宋体" w:hAnsi="宋体" w:cs="华文仿宋"/>
                <w:sz w:val="24"/>
                <w:highlight w:val="none"/>
              </w:rPr>
              <w:t>12</w:t>
            </w:r>
          </w:p>
        </w:tc>
        <w:tc>
          <w:tcPr>
            <w:tcW w:w="2354" w:type="dxa"/>
            <w:vAlign w:val="center"/>
          </w:tcPr>
          <w:p>
            <w:pPr>
              <w:pStyle w:val="29"/>
              <w:spacing w:line="280" w:lineRule="exact"/>
              <w:ind w:left="33"/>
              <w:jc w:val="center"/>
              <w:rPr>
                <w:rFonts w:cs="华文仿宋"/>
                <w:highlight w:val="none"/>
                <w:lang w:val="zh-CN"/>
              </w:rPr>
            </w:pPr>
            <w:r>
              <w:rPr>
                <w:rFonts w:hint="eastAsia" w:cs="华文仿宋"/>
                <w:highlight w:val="none"/>
              </w:rPr>
              <w:t>费用承担</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供应商参加谈判活动发生的一切费用均自理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35" w:hRule="atLeast"/>
          <w:jc w:val="center"/>
        </w:trPr>
        <w:tc>
          <w:tcPr>
            <w:tcW w:w="727" w:type="dxa"/>
            <w:vAlign w:val="center"/>
          </w:tcPr>
          <w:p>
            <w:pPr>
              <w:spacing w:line="280" w:lineRule="exact"/>
              <w:jc w:val="center"/>
              <w:rPr>
                <w:rFonts w:ascii="宋体" w:hAnsi="宋体" w:cs="华文仿宋"/>
                <w:sz w:val="24"/>
                <w:highlight w:val="none"/>
              </w:rPr>
            </w:pPr>
            <w:r>
              <w:rPr>
                <w:rFonts w:hint="eastAsia" w:ascii="宋体" w:hAnsi="宋体" w:cs="华文仿宋"/>
                <w:sz w:val="24"/>
                <w:highlight w:val="none"/>
              </w:rPr>
              <w:t>13</w:t>
            </w:r>
          </w:p>
        </w:tc>
        <w:tc>
          <w:tcPr>
            <w:tcW w:w="2354" w:type="dxa"/>
            <w:vAlign w:val="center"/>
          </w:tcPr>
          <w:p>
            <w:pPr>
              <w:pStyle w:val="29"/>
              <w:spacing w:line="280" w:lineRule="exact"/>
              <w:jc w:val="center"/>
              <w:rPr>
                <w:rFonts w:cs="华文仿宋"/>
                <w:highlight w:val="none"/>
                <w:lang w:val="zh-CN"/>
              </w:rPr>
            </w:pPr>
            <w:r>
              <w:rPr>
                <w:rFonts w:hint="eastAsia" w:cs="华文仿宋"/>
                <w:highlight w:val="none"/>
              </w:rPr>
              <w:t>合同签订时间</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通知领取中标通知书后，中标人应在3日内领取中标通知书，领取后3天内与采购人签订合同，逾期不领取中标通知书或不签订合同的，顺延至第二中标人或重新采购。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spacing w:line="280" w:lineRule="exact"/>
              <w:jc w:val="center"/>
              <w:rPr>
                <w:rFonts w:ascii="宋体" w:hAnsi="宋体" w:cs="华文仿宋"/>
                <w:sz w:val="24"/>
                <w:highlight w:val="none"/>
              </w:rPr>
            </w:pPr>
            <w:bookmarkStart w:id="7" w:name="_Hlk450145192"/>
            <w:r>
              <w:rPr>
                <w:rFonts w:hint="eastAsia" w:ascii="宋体" w:hAnsi="宋体" w:cs="华文仿宋"/>
                <w:sz w:val="24"/>
                <w:highlight w:val="none"/>
              </w:rPr>
              <w:t>14</w:t>
            </w:r>
          </w:p>
        </w:tc>
        <w:tc>
          <w:tcPr>
            <w:tcW w:w="2354" w:type="dxa"/>
            <w:vAlign w:val="center"/>
          </w:tcPr>
          <w:p>
            <w:pPr>
              <w:pStyle w:val="29"/>
              <w:spacing w:line="280" w:lineRule="exact"/>
              <w:jc w:val="center"/>
              <w:rPr>
                <w:rFonts w:cs="华文仿宋"/>
                <w:highlight w:val="none"/>
              </w:rPr>
            </w:pPr>
            <w:r>
              <w:rPr>
                <w:rFonts w:hint="eastAsia" w:cs="华文仿宋"/>
                <w:highlight w:val="none"/>
              </w:rPr>
              <w:t>履约保证金</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spacing w:line="280" w:lineRule="exact"/>
              <w:jc w:val="center"/>
              <w:rPr>
                <w:rFonts w:ascii="宋体" w:hAnsi="宋体" w:cs="华文仿宋"/>
                <w:sz w:val="24"/>
                <w:highlight w:val="none"/>
              </w:rPr>
            </w:pPr>
            <w:r>
              <w:rPr>
                <w:rFonts w:hint="eastAsia" w:ascii="宋体" w:hAnsi="宋体" w:cs="华文仿宋"/>
                <w:sz w:val="24"/>
                <w:highlight w:val="none"/>
              </w:rPr>
              <w:t>15</w:t>
            </w:r>
          </w:p>
        </w:tc>
        <w:tc>
          <w:tcPr>
            <w:tcW w:w="2354" w:type="dxa"/>
            <w:vAlign w:val="center"/>
          </w:tcPr>
          <w:p>
            <w:pPr>
              <w:pStyle w:val="29"/>
              <w:spacing w:line="280" w:lineRule="exact"/>
              <w:jc w:val="center"/>
              <w:rPr>
                <w:rFonts w:cs="华文仿宋"/>
                <w:highlight w:val="none"/>
              </w:rPr>
            </w:pPr>
            <w:r>
              <w:rPr>
                <w:rFonts w:hint="eastAsia" w:cs="华文仿宋"/>
                <w:highlight w:val="none"/>
                <w:lang w:eastAsia="zh-CN"/>
              </w:rPr>
              <w:t>谈判</w:t>
            </w:r>
            <w:r>
              <w:rPr>
                <w:rFonts w:hint="eastAsia" w:cs="华文仿宋"/>
                <w:highlight w:val="none"/>
              </w:rPr>
              <w:t>代理服务费</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代理费、清单编制与控制价编制费一律按工程中标价为计算基数（预留金不扣减)，根据《国家发展改革委关于降低部分建设项目收费标准规范收费行为等有关问题的通知》发改价格[2011]534号文规定的标准计取采购代理服务费和按省物价局、建设厅皖价服[2007]86号文规定的标准计取清单控制价编制费；以上费用由中标人支付，此费用视同包含在响应总价中，采购人不再另行支付。响应人中标后，在领取中标通知书前支付给采购代理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spacing w:line="280" w:lineRule="exact"/>
              <w:jc w:val="center"/>
              <w:rPr>
                <w:rFonts w:hint="default" w:ascii="宋体" w:hAnsi="宋体" w:eastAsia="宋体" w:cs="华文仿宋"/>
                <w:sz w:val="24"/>
                <w:highlight w:val="none"/>
                <w:lang w:val="en-US" w:eastAsia="zh-CN"/>
              </w:rPr>
            </w:pPr>
            <w:r>
              <w:rPr>
                <w:rFonts w:hint="eastAsia" w:ascii="宋体" w:hAnsi="宋体" w:cs="华文仿宋"/>
                <w:sz w:val="24"/>
                <w:highlight w:val="none"/>
                <w:lang w:val="en-US" w:eastAsia="zh-CN"/>
              </w:rPr>
              <w:t>16</w:t>
            </w:r>
          </w:p>
        </w:tc>
        <w:tc>
          <w:tcPr>
            <w:tcW w:w="2354" w:type="dxa"/>
            <w:vAlign w:val="center"/>
          </w:tcPr>
          <w:p>
            <w:pPr>
              <w:spacing w:line="360" w:lineRule="auto"/>
              <w:jc w:val="center"/>
              <w:rPr>
                <w:rFonts w:hint="eastAsia" w:cs="华文仿宋"/>
                <w:highlight w:val="none"/>
              </w:rPr>
            </w:pPr>
            <w:r>
              <w:rPr>
                <w:rFonts w:hint="eastAsia" w:ascii="宋体" w:hAnsi="宋体" w:cs="宋体"/>
                <w:kern w:val="0"/>
                <w:sz w:val="24"/>
                <w:highlight w:val="none"/>
              </w:rPr>
              <w:t>材料要求</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1.中标人自行采购的材料应符合采购人要求的质量等级，并由采购人认可。如</w:t>
            </w:r>
            <w:r>
              <w:rPr>
                <w:rFonts w:hint="eastAsia" w:ascii="宋体" w:hAnsi="宋体" w:eastAsia="宋体" w:cs="宋体"/>
                <w:color w:val="auto"/>
                <w:sz w:val="24"/>
                <w:lang w:eastAsia="zh-CN"/>
              </w:rPr>
              <w:t>采购</w:t>
            </w:r>
            <w:r>
              <w:rPr>
                <w:rFonts w:hint="eastAsia" w:ascii="宋体" w:hAnsi="宋体" w:eastAsia="宋体" w:cs="宋体"/>
                <w:color w:val="auto"/>
                <w:sz w:val="24"/>
              </w:rPr>
              <w:t>人和监理单位对材料的质量有异议，有权提出权威检验部门鉴定的要求，若经鉴定确有质量问题，由此而发生的一切费用由中标人自负。</w:t>
            </w:r>
          </w:p>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2.因中标人自行采购的材料质量引起的工程质量问题由中标人承担所造成的一切损失。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727" w:type="dxa"/>
            <w:vAlign w:val="center"/>
          </w:tcPr>
          <w:p>
            <w:pPr>
              <w:spacing w:line="280" w:lineRule="exact"/>
              <w:jc w:val="center"/>
              <w:rPr>
                <w:rFonts w:hint="default" w:ascii="宋体" w:hAnsi="宋体" w:eastAsia="宋体" w:cs="华文仿宋"/>
                <w:sz w:val="24"/>
                <w:highlight w:val="none"/>
                <w:lang w:val="en-US" w:eastAsia="zh-CN"/>
              </w:rPr>
            </w:pPr>
            <w:r>
              <w:rPr>
                <w:rFonts w:hint="eastAsia" w:ascii="宋体" w:hAnsi="宋体" w:cs="华文仿宋"/>
                <w:sz w:val="24"/>
                <w:highlight w:val="none"/>
                <w:lang w:val="en-US" w:eastAsia="zh-CN"/>
              </w:rPr>
              <w:t>17</w:t>
            </w:r>
          </w:p>
        </w:tc>
        <w:tc>
          <w:tcPr>
            <w:tcW w:w="2354" w:type="dxa"/>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eastAsia="zh-CN"/>
              </w:rPr>
              <w:t>谈判文件</w:t>
            </w:r>
            <w:r>
              <w:rPr>
                <w:rFonts w:hint="eastAsia" w:ascii="宋体" w:hAnsi="宋体" w:cs="宋体"/>
                <w:kern w:val="0"/>
                <w:sz w:val="24"/>
                <w:highlight w:val="none"/>
              </w:rPr>
              <w:t>的解释权顺序</w:t>
            </w:r>
          </w:p>
        </w:tc>
        <w:tc>
          <w:tcPr>
            <w:tcW w:w="6602" w:type="dxa"/>
            <w:vAlign w:val="center"/>
          </w:tcPr>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1.构成本谈判文件的各个组成文件应互为解释，互为说明；</w:t>
            </w:r>
          </w:p>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2.谈判文件约定中如有不明确或不一致的，工程量以工程量清单为准；构成合同组成内容的，以合同文件约定内容为准；</w:t>
            </w:r>
          </w:p>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3.除谈判文件中有特别规定外，仅适用于谈判响应阶段的规定，同一组成文件中就同一事项的规定或约定不一致的，按评审办法、谈判公告、响应人须知、响应文件格式的优先顺序解释；</w:t>
            </w:r>
          </w:p>
          <w:p>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4.按上述规定仍不能形成结论的，由采购人或其委托的采购代理机构负责解释。</w:t>
            </w:r>
          </w:p>
        </w:tc>
      </w:tr>
    </w:tbl>
    <w:p>
      <w:pPr>
        <w:pStyle w:val="28"/>
        <w:rPr>
          <w:b/>
          <w:highlight w:val="none"/>
        </w:rPr>
      </w:pPr>
      <w:r>
        <w:rPr>
          <w:rFonts w:hint="eastAsia" w:ascii="宋体" w:hAnsi="宋体"/>
          <w:highlight w:val="none"/>
        </w:rPr>
        <w:br w:type="page"/>
      </w:r>
      <w:bookmarkEnd w:id="7"/>
      <w:bookmarkStart w:id="8" w:name="_Toc383776343"/>
      <w:r>
        <w:rPr>
          <w:rFonts w:hint="eastAsia"/>
          <w:b/>
          <w:highlight w:val="none"/>
        </w:rPr>
        <w:t>二、谈判响应供应商须知</w:t>
      </w:r>
      <w:bookmarkEnd w:id="8"/>
    </w:p>
    <w:p>
      <w:pPr>
        <w:pStyle w:val="28"/>
        <w:snapToGrid w:val="0"/>
        <w:spacing w:line="360" w:lineRule="auto"/>
        <w:rPr>
          <w:rFonts w:hint="eastAsia" w:ascii="宋体" w:hAnsi="宋体" w:cs="宋体"/>
          <w:b/>
          <w:sz w:val="24"/>
          <w:szCs w:val="24"/>
        </w:rPr>
      </w:pPr>
      <w:bookmarkStart w:id="9" w:name="_Toc385492626"/>
      <w:r>
        <w:rPr>
          <w:rFonts w:hint="eastAsia" w:ascii="宋体" w:hAnsi="宋体" w:cs="宋体"/>
          <w:b/>
          <w:sz w:val="24"/>
          <w:szCs w:val="24"/>
        </w:rPr>
        <w:t>（一）总则</w:t>
      </w:r>
      <w:bookmarkEnd w:id="9"/>
    </w:p>
    <w:p>
      <w:pPr>
        <w:snapToGrid w:val="0"/>
        <w:spacing w:line="360" w:lineRule="auto"/>
        <w:ind w:firstLine="480" w:firstLineChars="200"/>
        <w:rPr>
          <w:rFonts w:hint="eastAsia" w:ascii="宋体" w:hAnsi="宋体" w:cs="宋体"/>
          <w:sz w:val="24"/>
        </w:rPr>
      </w:pPr>
      <w:r>
        <w:rPr>
          <w:rFonts w:hint="eastAsia" w:ascii="宋体" w:hAnsi="宋体" w:cs="宋体"/>
          <w:sz w:val="24"/>
        </w:rPr>
        <w:t>1、本谈判文件仅适用于本次竞争性谈判的工程项目。代理机构接受采购人委托，根据采购人提交的服务要求，对此项目进行采购代理，编制谈判文件，组织开评标活动。</w:t>
      </w:r>
    </w:p>
    <w:p>
      <w:pPr>
        <w:snapToGrid w:val="0"/>
        <w:spacing w:line="360" w:lineRule="auto"/>
        <w:ind w:firstLine="480" w:firstLineChars="200"/>
        <w:rPr>
          <w:rFonts w:hint="eastAsia" w:ascii="宋体" w:hAnsi="宋体" w:cs="宋体"/>
          <w:sz w:val="24"/>
        </w:rPr>
      </w:pPr>
      <w:r>
        <w:rPr>
          <w:rFonts w:hint="eastAsia" w:ascii="宋体" w:hAnsi="宋体" w:cs="宋体"/>
          <w:sz w:val="24"/>
        </w:rPr>
        <w:t>2、本次</w:t>
      </w:r>
      <w:r>
        <w:rPr>
          <w:rFonts w:hint="eastAsia" w:ascii="宋体" w:hAnsi="宋体" w:cs="宋体"/>
          <w:sz w:val="24"/>
          <w:lang w:eastAsia="zh-CN"/>
        </w:rPr>
        <w:t>谈判</w:t>
      </w:r>
      <w:r>
        <w:rPr>
          <w:rFonts w:hint="eastAsia" w:ascii="宋体" w:hAnsi="宋体" w:cs="宋体"/>
          <w:sz w:val="24"/>
        </w:rPr>
        <w:t>的服务是系指除货物和服务以外的其他政府采购对象。无论谈判文件是否列明，供应商所提供的服务必须符合国家相关现行法律法规的规定，否则投标无效。 本谈判文件所要求的证书、认证、资质，均应当是有权机构颁发，且在有效期内。</w:t>
      </w:r>
    </w:p>
    <w:p>
      <w:pPr>
        <w:pStyle w:val="29"/>
        <w:snapToGrid w:val="0"/>
        <w:spacing w:line="360" w:lineRule="auto"/>
        <w:ind w:firstLine="480" w:firstLineChars="200"/>
        <w:jc w:val="center"/>
        <w:rPr>
          <w:rFonts w:hint="eastAsia"/>
          <w:b/>
        </w:rPr>
      </w:pPr>
      <w:bookmarkStart w:id="10" w:name="_Toc385492627"/>
      <w:r>
        <w:rPr>
          <w:rFonts w:hint="eastAsia"/>
          <w:b/>
        </w:rPr>
        <w:t>（二）竞争性谈判文件</w:t>
      </w:r>
      <w:bookmarkEnd w:id="10"/>
    </w:p>
    <w:p>
      <w:pPr>
        <w:snapToGrid w:val="0"/>
        <w:spacing w:line="360" w:lineRule="auto"/>
        <w:ind w:firstLine="480" w:firstLineChars="200"/>
        <w:rPr>
          <w:rFonts w:hint="eastAsia" w:ascii="宋体" w:hAnsi="宋体" w:cs="宋体"/>
          <w:sz w:val="24"/>
        </w:rPr>
      </w:pPr>
      <w:r>
        <w:rPr>
          <w:rFonts w:hint="eastAsia" w:ascii="宋体" w:hAnsi="宋体" w:cs="宋体"/>
          <w:sz w:val="24"/>
        </w:rPr>
        <w:t>3．供应商应当按照谈判文件的要求编制谈判响应文件。谈判响应文件应对谈判文件提出的要求和条件作出实质性响应。供应商应认真阅读和充分理解谈判文件中所有的内容。如果供应商没有满足谈判文件的有关要求，其风险由供应商自行承担。</w:t>
      </w:r>
    </w:p>
    <w:p>
      <w:pPr>
        <w:snapToGrid w:val="0"/>
        <w:spacing w:line="360" w:lineRule="auto"/>
        <w:ind w:firstLine="480" w:firstLineChars="200"/>
        <w:rPr>
          <w:rFonts w:hint="eastAsia" w:ascii="宋体" w:hAnsi="宋体" w:cs="宋体"/>
          <w:sz w:val="24"/>
        </w:rPr>
      </w:pPr>
      <w:r>
        <w:rPr>
          <w:rFonts w:hint="eastAsia" w:ascii="宋体" w:hAnsi="宋体" w:cs="宋体"/>
          <w:sz w:val="24"/>
        </w:rPr>
        <w:t>4、供应商获取谈判文件后，应仔细检查谈判文件的所有内容，如有残缺、疑问等问题应在谈判文件中规定的时间内向代理机构提出，否则，由此引起的损失由供应商自行承担。</w:t>
      </w:r>
    </w:p>
    <w:p>
      <w:pPr>
        <w:snapToGrid w:val="0"/>
        <w:spacing w:line="360" w:lineRule="auto"/>
        <w:ind w:firstLine="480" w:firstLineChars="200"/>
        <w:rPr>
          <w:rFonts w:hint="eastAsia" w:ascii="宋体" w:hAnsi="宋体" w:cs="宋体"/>
          <w:b/>
          <w:sz w:val="24"/>
        </w:rPr>
      </w:pPr>
      <w:r>
        <w:rPr>
          <w:rFonts w:hint="eastAsia" w:ascii="宋体" w:hAnsi="宋体" w:cs="宋体"/>
          <w:b/>
          <w:sz w:val="24"/>
        </w:rPr>
        <w:t>5．竞争性谈判文件的澄清</w:t>
      </w:r>
    </w:p>
    <w:p>
      <w:pPr>
        <w:snapToGrid w:val="0"/>
        <w:spacing w:line="360" w:lineRule="auto"/>
        <w:ind w:firstLine="480" w:firstLineChars="200"/>
        <w:rPr>
          <w:rFonts w:hint="eastAsia" w:ascii="宋体" w:hAnsi="宋体" w:cs="宋体"/>
          <w:sz w:val="24"/>
        </w:rPr>
      </w:pPr>
      <w:r>
        <w:rPr>
          <w:rFonts w:hint="eastAsia" w:ascii="宋体" w:hAnsi="宋体" w:cs="宋体"/>
          <w:sz w:val="24"/>
        </w:rPr>
        <w:t>5.1供应商可以要求采购单位对谈判文件中的有关问题进行答疑、澄清。</w:t>
      </w:r>
    </w:p>
    <w:p>
      <w:pPr>
        <w:snapToGrid w:val="0"/>
        <w:spacing w:line="360" w:lineRule="auto"/>
        <w:ind w:firstLine="480" w:firstLineChars="200"/>
        <w:rPr>
          <w:rFonts w:hint="eastAsia" w:ascii="宋体" w:hAnsi="宋体" w:cs="宋体"/>
          <w:sz w:val="24"/>
        </w:rPr>
      </w:pPr>
      <w:r>
        <w:rPr>
          <w:rFonts w:hint="eastAsia" w:ascii="宋体" w:hAnsi="宋体" w:cs="宋体"/>
          <w:sz w:val="24"/>
        </w:rPr>
        <w:t>5.2供应商对谈判文件如有疑问，须在法律规定的时间前按</w:t>
      </w:r>
      <w:r>
        <w:rPr>
          <w:rFonts w:hint="eastAsia" w:ascii="宋体" w:hAnsi="宋体" w:cs="宋体"/>
          <w:sz w:val="24"/>
          <w:lang w:eastAsia="zh-CN"/>
        </w:rPr>
        <w:t>谈判</w:t>
      </w:r>
      <w:r>
        <w:rPr>
          <w:rFonts w:hint="eastAsia" w:ascii="宋体" w:hAnsi="宋体" w:cs="宋体"/>
          <w:sz w:val="24"/>
        </w:rPr>
        <w:t>公告中的联系方式，以书面形式（如传真、信件、电报等）通知采购人和代理机构。未在规定时间提出疑问的，将不予</w:t>
      </w:r>
      <w:r>
        <w:rPr>
          <w:rFonts w:hint="eastAsia" w:ascii="宋体" w:hAnsi="宋体" w:eastAsia="宋体" w:cs="宋体"/>
          <w:sz w:val="24"/>
        </w:rPr>
        <w:t>答复。在此规定时间以前收到的、且需要做出澄清的问题，将在投标截止前以公告的形式刊登在安徽省建生工程咨询有限公司网，</w:t>
      </w:r>
      <w:r>
        <w:rPr>
          <w:rFonts w:hint="eastAsia" w:ascii="宋体" w:hAnsi="宋体" w:cs="宋体"/>
          <w:sz w:val="24"/>
        </w:rPr>
        <w:t>告知所有供应商，但不说明问题的来源。因此，供应商无论是否提出过澄清的要求，均应上网查看是否有关本项目的澄清说明。</w:t>
      </w:r>
    </w:p>
    <w:p>
      <w:pPr>
        <w:snapToGrid w:val="0"/>
        <w:spacing w:line="360" w:lineRule="auto"/>
        <w:ind w:firstLine="480" w:firstLineChars="200"/>
        <w:rPr>
          <w:rFonts w:hint="eastAsia" w:ascii="宋体" w:hAnsi="宋体" w:cs="宋体"/>
          <w:b/>
          <w:sz w:val="24"/>
        </w:rPr>
      </w:pPr>
      <w:r>
        <w:rPr>
          <w:rFonts w:hint="eastAsia" w:ascii="宋体" w:hAnsi="宋体" w:cs="宋体"/>
          <w:b/>
          <w:sz w:val="24"/>
        </w:rPr>
        <w:t>6．竞争性谈判文件的修改</w:t>
      </w:r>
    </w:p>
    <w:p>
      <w:pPr>
        <w:snapToGrid w:val="0"/>
        <w:spacing w:line="360" w:lineRule="auto"/>
        <w:ind w:firstLine="480" w:firstLineChars="200"/>
        <w:rPr>
          <w:rFonts w:hint="eastAsia" w:ascii="宋体" w:hAnsi="宋体" w:cs="宋体"/>
          <w:sz w:val="24"/>
        </w:rPr>
      </w:pPr>
      <w:r>
        <w:rPr>
          <w:rFonts w:hint="eastAsia" w:ascii="宋体" w:hAnsi="宋体" w:cs="宋体"/>
          <w:sz w:val="24"/>
        </w:rPr>
        <w:t>6.1在某些情况下，采购人可能对谈判文件进行修改。</w:t>
      </w:r>
    </w:p>
    <w:p>
      <w:pPr>
        <w:snapToGrid w:val="0"/>
        <w:spacing w:line="360" w:lineRule="auto"/>
        <w:ind w:firstLine="480" w:firstLineChars="200"/>
        <w:rPr>
          <w:rFonts w:hint="eastAsia" w:ascii="宋体" w:hAnsi="宋体" w:cs="宋体"/>
          <w:sz w:val="24"/>
        </w:rPr>
      </w:pPr>
      <w:r>
        <w:rPr>
          <w:rFonts w:hint="eastAsia" w:ascii="宋体" w:hAnsi="宋体" w:cs="宋体"/>
          <w:sz w:val="24"/>
        </w:rPr>
        <w:t>6.2采购人对谈判文件的修改，将在网站以补充公告的形式通知所有供应商，并对所有供应商具有约束力。</w:t>
      </w:r>
    </w:p>
    <w:p>
      <w:pPr>
        <w:snapToGrid w:val="0"/>
        <w:spacing w:line="360" w:lineRule="auto"/>
        <w:ind w:firstLine="480" w:firstLineChars="200"/>
        <w:rPr>
          <w:rFonts w:hint="eastAsia" w:ascii="宋体" w:hAnsi="宋体" w:cs="宋体"/>
          <w:sz w:val="24"/>
        </w:rPr>
      </w:pPr>
      <w:r>
        <w:rPr>
          <w:rFonts w:hint="eastAsia" w:ascii="宋体" w:hAnsi="宋体" w:cs="宋体"/>
          <w:sz w:val="24"/>
        </w:rPr>
        <w:t>6.3为使供应商有充分时间对谈判文件的修改部分进行研究或由于其他原因，采购人可以决定延长投标截止日期，并以补充公告的形式将变更时间通知所有供应商。</w:t>
      </w:r>
    </w:p>
    <w:p>
      <w:pPr>
        <w:snapToGrid w:val="0"/>
        <w:spacing w:line="360" w:lineRule="auto"/>
        <w:jc w:val="center"/>
        <w:rPr>
          <w:rFonts w:hint="eastAsia" w:ascii="宋体" w:hAnsi="宋体" w:cs="宋体"/>
          <w:b/>
          <w:bCs/>
          <w:sz w:val="24"/>
        </w:rPr>
      </w:pPr>
      <w:r>
        <w:rPr>
          <w:rFonts w:hint="eastAsia" w:ascii="宋体" w:hAnsi="宋体" w:cs="宋体"/>
          <w:b/>
          <w:bCs/>
          <w:sz w:val="24"/>
        </w:rPr>
        <w:t>（三）供应商</w:t>
      </w:r>
    </w:p>
    <w:p>
      <w:pPr>
        <w:snapToGrid w:val="0"/>
        <w:spacing w:line="360" w:lineRule="auto"/>
        <w:ind w:firstLine="549"/>
        <w:rPr>
          <w:rFonts w:hint="eastAsia" w:ascii="宋体" w:hAnsi="宋体" w:cs="宋体"/>
          <w:sz w:val="24"/>
        </w:rPr>
      </w:pPr>
      <w:r>
        <w:rPr>
          <w:rFonts w:hint="eastAsia" w:ascii="宋体" w:hAnsi="宋体" w:cs="宋体"/>
          <w:b/>
          <w:bCs/>
          <w:sz w:val="24"/>
        </w:rPr>
        <w:t>8、投标费用</w:t>
      </w:r>
    </w:p>
    <w:p>
      <w:pPr>
        <w:snapToGrid w:val="0"/>
        <w:spacing w:line="360" w:lineRule="auto"/>
        <w:ind w:firstLine="480" w:firstLineChars="200"/>
        <w:rPr>
          <w:rFonts w:hint="eastAsia" w:ascii="宋体" w:hAnsi="宋体" w:cs="宋体"/>
          <w:sz w:val="24"/>
        </w:rPr>
      </w:pPr>
      <w:r>
        <w:rPr>
          <w:rFonts w:hint="eastAsia" w:ascii="宋体" w:hAnsi="宋体" w:cs="宋体"/>
          <w:sz w:val="24"/>
        </w:rPr>
        <w:t>供应商必须自行承担所有与参加投标有关的一切费用。不论投标的结果如何，采购人和采购代理机构在任何情况下均无义务和责任承担这些费用。</w:t>
      </w:r>
    </w:p>
    <w:p>
      <w:pPr>
        <w:snapToGrid w:val="0"/>
        <w:spacing w:line="360" w:lineRule="auto"/>
        <w:ind w:firstLine="480" w:firstLineChars="200"/>
        <w:rPr>
          <w:rFonts w:hint="eastAsia" w:ascii="宋体" w:hAnsi="宋体" w:cs="宋体"/>
          <w:sz w:val="24"/>
        </w:rPr>
      </w:pPr>
      <w:r>
        <w:rPr>
          <w:rFonts w:hint="eastAsia" w:ascii="宋体" w:hAnsi="宋体" w:cs="宋体"/>
          <w:sz w:val="24"/>
        </w:rPr>
        <w:t>预算编制费用及</w:t>
      </w:r>
      <w:r>
        <w:rPr>
          <w:rFonts w:hint="eastAsia" w:ascii="宋体" w:hAnsi="宋体" w:cs="宋体"/>
          <w:sz w:val="24"/>
          <w:lang w:eastAsia="zh-CN"/>
        </w:rPr>
        <w:t>谈判</w:t>
      </w:r>
      <w:r>
        <w:rPr>
          <w:rFonts w:hint="eastAsia" w:ascii="宋体" w:hAnsi="宋体" w:cs="宋体"/>
          <w:sz w:val="24"/>
        </w:rPr>
        <w:t>代理服务费用由中标单位按</w:t>
      </w:r>
      <w:r>
        <w:rPr>
          <w:rFonts w:hint="eastAsia" w:ascii="宋体" w:hAnsi="宋体" w:cs="宋体"/>
          <w:sz w:val="24"/>
          <w:lang w:eastAsia="zh-CN"/>
        </w:rPr>
        <w:t>谈判</w:t>
      </w:r>
      <w:r>
        <w:rPr>
          <w:rFonts w:hint="eastAsia" w:ascii="宋体" w:hAnsi="宋体" w:cs="宋体"/>
          <w:sz w:val="24"/>
        </w:rPr>
        <w:t>代理合同中约定的标准，在领取中标通知书前向代理机构一次性支付，采购人不另行支付。</w:t>
      </w:r>
    </w:p>
    <w:p>
      <w:pPr>
        <w:snapToGrid w:val="0"/>
        <w:spacing w:line="360" w:lineRule="auto"/>
        <w:ind w:firstLine="549"/>
        <w:rPr>
          <w:rFonts w:hint="eastAsia" w:ascii="宋体" w:hAnsi="宋体" w:cs="宋体"/>
          <w:b/>
          <w:bCs/>
          <w:sz w:val="24"/>
        </w:rPr>
      </w:pPr>
      <w:r>
        <w:rPr>
          <w:rFonts w:hint="eastAsia" w:ascii="宋体" w:hAnsi="宋体" w:cs="宋体"/>
          <w:b/>
          <w:bCs/>
          <w:sz w:val="24"/>
        </w:rPr>
        <w:t>9、合格的供应商</w:t>
      </w:r>
    </w:p>
    <w:p>
      <w:pPr>
        <w:snapToGrid w:val="0"/>
        <w:spacing w:line="360" w:lineRule="auto"/>
        <w:ind w:firstLine="480" w:firstLineChars="200"/>
        <w:rPr>
          <w:rFonts w:hint="eastAsia" w:ascii="宋体" w:hAnsi="宋体" w:cs="宋体"/>
          <w:sz w:val="24"/>
        </w:rPr>
      </w:pPr>
      <w:r>
        <w:rPr>
          <w:rFonts w:hint="eastAsia" w:ascii="宋体" w:hAnsi="宋体" w:cs="宋体"/>
          <w:sz w:val="24"/>
        </w:rPr>
        <w:t>9.1合格的供应商应当满足本项目谈判文件所载明须满足的最低条件。</w:t>
      </w:r>
    </w:p>
    <w:p>
      <w:pPr>
        <w:snapToGrid w:val="0"/>
        <w:spacing w:line="360" w:lineRule="auto"/>
        <w:ind w:firstLine="480" w:firstLineChars="200"/>
        <w:rPr>
          <w:rFonts w:hint="eastAsia" w:ascii="宋体" w:hAnsi="宋体" w:cs="宋体"/>
          <w:sz w:val="24"/>
        </w:rPr>
      </w:pPr>
      <w:r>
        <w:rPr>
          <w:rFonts w:hint="eastAsia" w:ascii="宋体" w:hAnsi="宋体" w:cs="宋体"/>
          <w:sz w:val="24"/>
        </w:rPr>
        <w:t>9.2供应商之间如果存在下列情形之一的，且参加同一标段（包别）或者不分标段（包别）的同一项目投标，相关供应商均按无效标进行处理：</w:t>
      </w:r>
    </w:p>
    <w:p>
      <w:pPr>
        <w:snapToGrid w:val="0"/>
        <w:spacing w:line="360" w:lineRule="auto"/>
        <w:ind w:firstLine="480" w:firstLineChars="200"/>
        <w:rPr>
          <w:rFonts w:hint="eastAsia" w:ascii="宋体" w:hAnsi="宋体" w:cs="宋体"/>
          <w:sz w:val="24"/>
        </w:rPr>
      </w:pPr>
      <w:r>
        <w:rPr>
          <w:rFonts w:hint="eastAsia" w:ascii="宋体" w:hAnsi="宋体" w:cs="宋体"/>
          <w:sz w:val="24"/>
        </w:rPr>
        <w:t>9.2.1法定代表人为同一个人的两个及两个以上法人；</w:t>
      </w:r>
    </w:p>
    <w:p>
      <w:pPr>
        <w:snapToGrid w:val="0"/>
        <w:spacing w:line="360" w:lineRule="auto"/>
        <w:ind w:firstLine="480" w:firstLineChars="200"/>
        <w:rPr>
          <w:rFonts w:hint="eastAsia" w:ascii="宋体" w:hAnsi="宋体" w:cs="宋体"/>
          <w:sz w:val="24"/>
        </w:rPr>
      </w:pPr>
      <w:r>
        <w:rPr>
          <w:rFonts w:hint="eastAsia" w:ascii="宋体" w:hAnsi="宋体" w:cs="宋体"/>
          <w:sz w:val="24"/>
        </w:rPr>
        <w:t>9.2.2母公司、全资子公司及其控股公司；</w:t>
      </w:r>
    </w:p>
    <w:p>
      <w:pPr>
        <w:snapToGrid w:val="0"/>
        <w:spacing w:line="360" w:lineRule="auto"/>
        <w:ind w:firstLine="480" w:firstLineChars="200"/>
        <w:rPr>
          <w:rFonts w:hint="eastAsia" w:ascii="宋体" w:hAnsi="宋体" w:cs="宋体"/>
          <w:sz w:val="24"/>
        </w:rPr>
      </w:pPr>
      <w:r>
        <w:rPr>
          <w:rFonts w:hint="eastAsia" w:ascii="宋体" w:hAnsi="宋体" w:cs="宋体"/>
          <w:sz w:val="24"/>
        </w:rPr>
        <w:t>9.2.3参加投标的其他组织之间存在特殊的利害关系的；</w:t>
      </w:r>
    </w:p>
    <w:p>
      <w:pPr>
        <w:snapToGrid w:val="0"/>
        <w:spacing w:line="360" w:lineRule="auto"/>
        <w:ind w:firstLine="480" w:firstLineChars="200"/>
        <w:rPr>
          <w:rFonts w:hint="eastAsia" w:ascii="宋体" w:hAnsi="宋体" w:cs="宋体"/>
          <w:sz w:val="24"/>
        </w:rPr>
      </w:pPr>
      <w:r>
        <w:rPr>
          <w:rFonts w:hint="eastAsia" w:ascii="宋体" w:hAnsi="宋体" w:cs="宋体"/>
          <w:sz w:val="24"/>
        </w:rPr>
        <w:t>9.2.4法律和行政法规规定的其他情形。</w:t>
      </w:r>
    </w:p>
    <w:p>
      <w:pPr>
        <w:snapToGrid w:val="0"/>
        <w:spacing w:line="360" w:lineRule="auto"/>
        <w:ind w:firstLine="549"/>
        <w:rPr>
          <w:rFonts w:hint="eastAsia" w:ascii="宋体" w:hAnsi="宋体" w:cs="宋体"/>
          <w:b/>
          <w:bCs/>
          <w:sz w:val="24"/>
        </w:rPr>
      </w:pPr>
      <w:r>
        <w:rPr>
          <w:rFonts w:hint="eastAsia" w:ascii="宋体" w:hAnsi="宋体" w:cs="宋体"/>
          <w:b/>
          <w:bCs/>
          <w:sz w:val="24"/>
        </w:rPr>
        <w:t>10、勘察现场</w:t>
      </w:r>
    </w:p>
    <w:p>
      <w:pPr>
        <w:snapToGrid w:val="0"/>
        <w:spacing w:line="360" w:lineRule="auto"/>
        <w:ind w:firstLine="480" w:firstLineChars="200"/>
        <w:rPr>
          <w:rFonts w:hint="eastAsia" w:ascii="宋体" w:hAnsi="宋体" w:cs="宋体"/>
          <w:sz w:val="24"/>
        </w:rPr>
      </w:pPr>
      <w:r>
        <w:rPr>
          <w:rFonts w:hint="eastAsia" w:ascii="宋体" w:hAnsi="宋体" w:cs="宋体"/>
          <w:sz w:val="24"/>
        </w:rPr>
        <w:t>10.1供应商应自行对服务场地和周围环境进行勘察，以获取编制谈判响应文件和签署合同所需的资料。勘察现场的方式、地址及联系方式见供应商须知前附表。</w:t>
      </w:r>
    </w:p>
    <w:p>
      <w:pPr>
        <w:snapToGrid w:val="0"/>
        <w:spacing w:line="360" w:lineRule="auto"/>
        <w:ind w:firstLine="480" w:firstLineChars="200"/>
        <w:rPr>
          <w:rFonts w:hint="eastAsia" w:ascii="宋体" w:hAnsi="宋体" w:cs="宋体"/>
          <w:sz w:val="24"/>
        </w:rPr>
      </w:pPr>
      <w:r>
        <w:rPr>
          <w:rFonts w:hint="eastAsia" w:ascii="宋体" w:hAnsi="宋体" w:cs="宋体"/>
          <w:sz w:val="24"/>
        </w:rPr>
        <w:t>10.2勘察现场所发生的费用由供应商自行承担。采购人向供应商提供的有关现场的资料和数据，是采购人现有的能使供应商利用的资料。采购人对供应商由此而做出的推论、理解和结论概不负责。供应商未到现场实地踏勘的，中标后签订合同时和履约过程中，不得以不完全了解现场情况为由，提出任何形式的增加合同价款或索赔的要求。</w:t>
      </w:r>
    </w:p>
    <w:p>
      <w:pPr>
        <w:snapToGrid w:val="0"/>
        <w:spacing w:line="360" w:lineRule="auto"/>
        <w:ind w:firstLine="480" w:firstLineChars="200"/>
        <w:rPr>
          <w:rFonts w:hint="eastAsia" w:ascii="宋体" w:hAnsi="宋体" w:cs="宋体"/>
          <w:sz w:val="24"/>
        </w:rPr>
      </w:pPr>
      <w:r>
        <w:rPr>
          <w:rFonts w:hint="eastAsia" w:ascii="宋体" w:hAnsi="宋体" w:cs="宋体"/>
          <w:sz w:val="24"/>
        </w:rPr>
        <w:t>10.3除非有特殊要求，谈判文件不单独提供供货使用地的自然环境、气候条件、公用设施等情况，供应商被视为熟悉上述与履行合同有关的一切情况。</w:t>
      </w:r>
    </w:p>
    <w:p>
      <w:pPr>
        <w:snapToGrid w:val="0"/>
        <w:spacing w:line="360" w:lineRule="auto"/>
        <w:ind w:firstLine="480" w:firstLineChars="200"/>
        <w:rPr>
          <w:rFonts w:hint="eastAsia" w:ascii="宋体" w:hAnsi="宋体" w:cs="宋体"/>
          <w:b/>
          <w:bCs/>
          <w:sz w:val="24"/>
        </w:rPr>
      </w:pPr>
      <w:r>
        <w:rPr>
          <w:rFonts w:hint="eastAsia" w:ascii="宋体" w:hAnsi="宋体" w:cs="宋体"/>
          <w:b/>
          <w:bCs/>
          <w:sz w:val="24"/>
        </w:rPr>
        <w:t>11、知识产权</w:t>
      </w:r>
    </w:p>
    <w:p>
      <w:pPr>
        <w:snapToGrid w:val="0"/>
        <w:spacing w:line="360" w:lineRule="auto"/>
        <w:ind w:firstLine="480" w:firstLineChars="200"/>
        <w:rPr>
          <w:rFonts w:hint="eastAsia" w:ascii="宋体" w:hAnsi="宋体" w:cs="宋体"/>
          <w:sz w:val="24"/>
        </w:rPr>
      </w:pPr>
      <w:r>
        <w:rPr>
          <w:rFonts w:hint="eastAsia" w:ascii="宋体" w:hAnsi="宋体" w:cs="宋体"/>
          <w:sz w:val="24"/>
        </w:rPr>
        <w:t>11.1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napToGrid w:val="0"/>
        <w:spacing w:line="360" w:lineRule="auto"/>
        <w:ind w:firstLine="480" w:firstLineChars="200"/>
        <w:rPr>
          <w:rFonts w:hint="eastAsia" w:ascii="宋体" w:hAnsi="宋体" w:cs="宋体"/>
          <w:sz w:val="24"/>
        </w:rPr>
      </w:pPr>
      <w:r>
        <w:rPr>
          <w:rFonts w:hint="eastAsia" w:ascii="宋体" w:hAnsi="宋体" w:cs="宋体"/>
          <w:sz w:val="24"/>
        </w:rPr>
        <w:t>11.2供应商如欲在项目实施过程中采用自有知识成果，须在谈判响应文件中声明，并提供相关知识产权证明文件。使用该知识成果后，供应商须提供开发接口和开发手册等技术文档。</w:t>
      </w:r>
    </w:p>
    <w:p>
      <w:pPr>
        <w:snapToGrid w:val="0"/>
        <w:spacing w:line="360" w:lineRule="auto"/>
        <w:ind w:firstLine="549"/>
        <w:rPr>
          <w:rFonts w:hint="eastAsia" w:ascii="宋体" w:hAnsi="宋体" w:cs="宋体"/>
          <w:b/>
          <w:bCs/>
          <w:sz w:val="24"/>
        </w:rPr>
      </w:pPr>
      <w:r>
        <w:rPr>
          <w:rFonts w:hint="eastAsia" w:ascii="宋体" w:hAnsi="宋体" w:cs="宋体"/>
          <w:b/>
          <w:bCs/>
          <w:sz w:val="24"/>
        </w:rPr>
        <w:t>12、纪律与保密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12.1供应商的投标行为应遵守中国的有关法律、法规和规章。</w:t>
      </w:r>
    </w:p>
    <w:p>
      <w:pPr>
        <w:snapToGrid w:val="0"/>
        <w:spacing w:line="360" w:lineRule="auto"/>
        <w:ind w:firstLine="480" w:firstLineChars="200"/>
        <w:rPr>
          <w:rFonts w:hint="eastAsia" w:ascii="宋体" w:hAnsi="宋体" w:cs="宋体"/>
          <w:sz w:val="24"/>
        </w:rPr>
      </w:pPr>
      <w:r>
        <w:rPr>
          <w:rFonts w:hint="eastAsia" w:ascii="宋体" w:hAnsi="宋体" w:cs="宋体"/>
          <w:sz w:val="24"/>
        </w:rPr>
        <w:t>12.2供应商不得相互串通投标报价，不得妨碍其他供应商的公平竞争，不得损害采购人或其他供应商的合法权益，供应商不得以向采购人、评委会成员行贿或者采取其他不正当手段谋取中标。</w:t>
      </w:r>
    </w:p>
    <w:p>
      <w:pPr>
        <w:snapToGrid w:val="0"/>
        <w:spacing w:line="360" w:lineRule="auto"/>
        <w:ind w:firstLine="480" w:firstLineChars="200"/>
        <w:rPr>
          <w:rFonts w:hint="eastAsia" w:ascii="宋体" w:hAnsi="宋体" w:cs="宋体"/>
          <w:sz w:val="24"/>
        </w:rPr>
      </w:pPr>
      <w:r>
        <w:rPr>
          <w:rFonts w:hint="eastAsia" w:ascii="宋体" w:hAnsi="宋体" w:cs="宋体"/>
          <w:sz w:val="24"/>
        </w:rPr>
        <w:t>12.2.1有下列情形之一的，属于供应商相互串通投标：</w:t>
      </w:r>
    </w:p>
    <w:p>
      <w:pPr>
        <w:snapToGrid w:val="0"/>
        <w:spacing w:line="360" w:lineRule="auto"/>
        <w:ind w:firstLine="480" w:firstLineChars="200"/>
        <w:rPr>
          <w:rFonts w:hint="eastAsia" w:ascii="宋体" w:hAnsi="宋体" w:cs="宋体"/>
          <w:sz w:val="24"/>
        </w:rPr>
      </w:pPr>
      <w:r>
        <w:rPr>
          <w:rFonts w:hint="eastAsia" w:ascii="宋体" w:hAnsi="宋体" w:cs="宋体"/>
          <w:sz w:val="24"/>
        </w:rPr>
        <w:t>12.2.1.1供应商之间协商投标报价等谈判响应文件的实质性内容；</w:t>
      </w:r>
    </w:p>
    <w:p>
      <w:pPr>
        <w:snapToGrid w:val="0"/>
        <w:spacing w:line="360" w:lineRule="auto"/>
        <w:ind w:firstLine="480" w:firstLineChars="200"/>
        <w:rPr>
          <w:rFonts w:hint="eastAsia" w:ascii="宋体" w:hAnsi="宋体" w:cs="宋体"/>
          <w:sz w:val="24"/>
        </w:rPr>
      </w:pPr>
      <w:r>
        <w:rPr>
          <w:rFonts w:hint="eastAsia" w:ascii="宋体" w:hAnsi="宋体" w:cs="宋体"/>
          <w:sz w:val="24"/>
        </w:rPr>
        <w:t>12.2.1.2供应商之间约定中标人；</w:t>
      </w:r>
    </w:p>
    <w:p>
      <w:pPr>
        <w:snapToGrid w:val="0"/>
        <w:spacing w:line="360" w:lineRule="auto"/>
        <w:ind w:firstLine="480" w:firstLineChars="200"/>
        <w:rPr>
          <w:rFonts w:hint="eastAsia" w:ascii="宋体" w:hAnsi="宋体" w:cs="宋体"/>
          <w:sz w:val="24"/>
        </w:rPr>
      </w:pPr>
      <w:r>
        <w:rPr>
          <w:rFonts w:hint="eastAsia" w:ascii="宋体" w:hAnsi="宋体" w:cs="宋体"/>
          <w:sz w:val="24"/>
        </w:rPr>
        <w:t>12.2.1.3供应商之间约定部分供应商放弃投标或者中标；</w:t>
      </w:r>
    </w:p>
    <w:p>
      <w:pPr>
        <w:snapToGrid w:val="0"/>
        <w:spacing w:line="360" w:lineRule="auto"/>
        <w:ind w:firstLine="480" w:firstLineChars="200"/>
        <w:rPr>
          <w:rFonts w:hint="eastAsia" w:ascii="宋体" w:hAnsi="宋体" w:cs="宋体"/>
          <w:sz w:val="24"/>
        </w:rPr>
      </w:pPr>
      <w:r>
        <w:rPr>
          <w:rFonts w:hint="eastAsia" w:ascii="宋体" w:hAnsi="宋体" w:cs="宋体"/>
          <w:sz w:val="24"/>
        </w:rPr>
        <w:t>12.2.1.4属于同一集团、协会、商会等组织成员的供应商按照该组织要求协同投标；</w:t>
      </w:r>
    </w:p>
    <w:p>
      <w:pPr>
        <w:snapToGrid w:val="0"/>
        <w:spacing w:line="360" w:lineRule="auto"/>
        <w:ind w:firstLine="480" w:firstLineChars="200"/>
        <w:rPr>
          <w:rFonts w:hint="eastAsia" w:ascii="宋体" w:hAnsi="宋体" w:cs="宋体"/>
          <w:sz w:val="24"/>
        </w:rPr>
      </w:pPr>
      <w:r>
        <w:rPr>
          <w:rFonts w:hint="eastAsia" w:ascii="宋体" w:hAnsi="宋体" w:cs="宋体"/>
          <w:sz w:val="24"/>
        </w:rPr>
        <w:t>12.2.1.5供应商之间为谋取中标或者排斥特定供应商而采取的其他联合行动。</w:t>
      </w:r>
    </w:p>
    <w:p>
      <w:pPr>
        <w:snapToGrid w:val="0"/>
        <w:spacing w:line="360" w:lineRule="auto"/>
        <w:ind w:firstLine="480" w:firstLineChars="200"/>
        <w:rPr>
          <w:rFonts w:hint="eastAsia" w:ascii="宋体" w:hAnsi="宋体" w:cs="宋体"/>
          <w:sz w:val="24"/>
        </w:rPr>
      </w:pPr>
      <w:r>
        <w:rPr>
          <w:rFonts w:hint="eastAsia" w:ascii="宋体" w:hAnsi="宋体" w:cs="宋体"/>
          <w:sz w:val="24"/>
        </w:rPr>
        <w:t>12.2.1.6法律法规规定的其它情形。</w:t>
      </w:r>
    </w:p>
    <w:p>
      <w:pPr>
        <w:snapToGrid w:val="0"/>
        <w:spacing w:line="360" w:lineRule="auto"/>
        <w:ind w:firstLine="480" w:firstLineChars="200"/>
        <w:rPr>
          <w:rFonts w:hint="eastAsia" w:ascii="宋体" w:hAnsi="宋体" w:cs="宋体"/>
          <w:sz w:val="24"/>
        </w:rPr>
      </w:pPr>
      <w:r>
        <w:rPr>
          <w:rFonts w:hint="eastAsia" w:ascii="宋体" w:hAnsi="宋体" w:cs="宋体"/>
          <w:sz w:val="24"/>
        </w:rPr>
        <w:t>12.2.2 有下列情形之一的，视为供应商相互串通投标：</w:t>
      </w:r>
    </w:p>
    <w:p>
      <w:pPr>
        <w:snapToGrid w:val="0"/>
        <w:spacing w:line="360" w:lineRule="auto"/>
        <w:ind w:firstLine="480" w:firstLineChars="200"/>
        <w:rPr>
          <w:rFonts w:hint="eastAsia" w:ascii="宋体" w:hAnsi="宋体" w:cs="宋体"/>
          <w:sz w:val="24"/>
        </w:rPr>
      </w:pPr>
      <w:r>
        <w:rPr>
          <w:rFonts w:hint="eastAsia" w:ascii="宋体" w:hAnsi="宋体" w:cs="宋体"/>
          <w:sz w:val="24"/>
        </w:rPr>
        <w:t>12.2.2.1不同供应商的谈判响应文件由同一单位或者个人编制；</w:t>
      </w:r>
    </w:p>
    <w:p>
      <w:pPr>
        <w:snapToGrid w:val="0"/>
        <w:spacing w:line="360" w:lineRule="auto"/>
        <w:ind w:firstLine="480" w:firstLineChars="200"/>
        <w:rPr>
          <w:rFonts w:hint="eastAsia" w:ascii="宋体" w:hAnsi="宋体" w:cs="宋体"/>
          <w:sz w:val="24"/>
        </w:rPr>
      </w:pPr>
      <w:r>
        <w:rPr>
          <w:rFonts w:hint="eastAsia" w:ascii="宋体" w:hAnsi="宋体" w:cs="宋体"/>
          <w:sz w:val="24"/>
        </w:rPr>
        <w:t>12.2.2.2不同供应商委托同一单位或者个人办理投标事宜；</w:t>
      </w:r>
    </w:p>
    <w:p>
      <w:pPr>
        <w:snapToGrid w:val="0"/>
        <w:spacing w:line="360" w:lineRule="auto"/>
        <w:ind w:firstLine="480" w:firstLineChars="200"/>
        <w:rPr>
          <w:rFonts w:hint="eastAsia" w:ascii="宋体" w:hAnsi="宋体" w:cs="宋体"/>
          <w:sz w:val="24"/>
        </w:rPr>
      </w:pPr>
      <w:r>
        <w:rPr>
          <w:rFonts w:hint="eastAsia" w:ascii="宋体" w:hAnsi="宋体" w:cs="宋体"/>
          <w:sz w:val="24"/>
        </w:rPr>
        <w:t>12.2.2.3不同供应商的谈判响应文件载明的项目负责人（或技术负责人）为同一人；</w:t>
      </w:r>
    </w:p>
    <w:p>
      <w:pPr>
        <w:snapToGrid w:val="0"/>
        <w:spacing w:line="360" w:lineRule="auto"/>
        <w:ind w:firstLine="480" w:firstLineChars="200"/>
        <w:rPr>
          <w:rFonts w:hint="eastAsia" w:ascii="宋体" w:hAnsi="宋体" w:cs="宋体"/>
          <w:sz w:val="24"/>
        </w:rPr>
      </w:pPr>
      <w:r>
        <w:rPr>
          <w:rFonts w:hint="eastAsia" w:ascii="宋体" w:hAnsi="宋体" w:cs="宋体"/>
          <w:sz w:val="24"/>
        </w:rPr>
        <w:t>12.2.2.4不同供应商的谈判响应文件相互混装；</w:t>
      </w:r>
    </w:p>
    <w:p>
      <w:pPr>
        <w:snapToGrid w:val="0"/>
        <w:spacing w:line="360" w:lineRule="auto"/>
        <w:ind w:firstLine="480" w:firstLineChars="200"/>
        <w:rPr>
          <w:rFonts w:hint="eastAsia" w:ascii="宋体" w:hAnsi="宋体" w:cs="宋体"/>
          <w:sz w:val="24"/>
        </w:rPr>
      </w:pPr>
      <w:r>
        <w:rPr>
          <w:rFonts w:hint="eastAsia" w:ascii="宋体" w:hAnsi="宋体" w:cs="宋体"/>
          <w:sz w:val="24"/>
        </w:rPr>
        <w:t>12.2.2.5不同供应商的谈判响应文件异常一致或者最终投标报价是呈规律性差异；</w:t>
      </w:r>
    </w:p>
    <w:p>
      <w:pPr>
        <w:snapToGrid w:val="0"/>
        <w:spacing w:line="360" w:lineRule="auto"/>
        <w:ind w:firstLine="480" w:firstLineChars="200"/>
        <w:rPr>
          <w:rFonts w:hint="eastAsia" w:ascii="宋体" w:hAnsi="宋体" w:cs="宋体"/>
          <w:sz w:val="24"/>
        </w:rPr>
      </w:pPr>
      <w:r>
        <w:rPr>
          <w:rFonts w:hint="eastAsia" w:ascii="宋体" w:hAnsi="宋体" w:cs="宋体"/>
          <w:sz w:val="24"/>
        </w:rPr>
        <w:t>12.2.2.6不同供应商的谈判响应保证金从同一单位（或者同一个人）的账户转出；</w:t>
      </w:r>
    </w:p>
    <w:p>
      <w:pPr>
        <w:snapToGrid w:val="0"/>
        <w:spacing w:line="360" w:lineRule="auto"/>
        <w:ind w:firstLine="480" w:firstLineChars="200"/>
        <w:rPr>
          <w:rFonts w:hint="eastAsia" w:ascii="宋体" w:hAnsi="宋体" w:cs="宋体"/>
          <w:sz w:val="24"/>
        </w:rPr>
      </w:pPr>
      <w:r>
        <w:rPr>
          <w:rFonts w:hint="eastAsia" w:ascii="宋体" w:hAnsi="宋体" w:cs="宋体"/>
          <w:sz w:val="24"/>
        </w:rPr>
        <w:t>12.2.2.7 法律法规规定的其它情形。</w:t>
      </w:r>
    </w:p>
    <w:p>
      <w:pPr>
        <w:snapToGrid w:val="0"/>
        <w:spacing w:line="360" w:lineRule="auto"/>
        <w:ind w:firstLine="480" w:firstLineChars="200"/>
        <w:rPr>
          <w:rFonts w:hint="eastAsia" w:ascii="宋体" w:hAnsi="宋体" w:cs="宋体"/>
          <w:sz w:val="24"/>
        </w:rPr>
      </w:pPr>
      <w:r>
        <w:rPr>
          <w:rFonts w:hint="eastAsia" w:ascii="宋体" w:hAnsi="宋体" w:cs="宋体"/>
          <w:sz w:val="24"/>
        </w:rPr>
        <w:t>12.3在确定中标人之前，供应商试图在谈判响应文件审查、澄清、比较和评价时对评委会和采购人施加任何影响都可能导致其投标无效。</w:t>
      </w:r>
    </w:p>
    <w:p>
      <w:pPr>
        <w:snapToGrid w:val="0"/>
        <w:spacing w:line="360" w:lineRule="auto"/>
        <w:ind w:firstLine="549"/>
        <w:rPr>
          <w:rFonts w:hint="eastAsia" w:ascii="宋体" w:hAnsi="宋体" w:cs="宋体"/>
          <w:sz w:val="24"/>
        </w:rPr>
      </w:pPr>
      <w:r>
        <w:rPr>
          <w:rFonts w:hint="eastAsia" w:ascii="宋体" w:hAnsi="宋体" w:cs="宋体"/>
          <w:b/>
          <w:bCs/>
          <w:sz w:val="24"/>
        </w:rPr>
        <w:t>13.联合体投标（本项目不接受）</w:t>
      </w:r>
    </w:p>
    <w:p>
      <w:pPr>
        <w:snapToGrid w:val="0"/>
        <w:spacing w:line="360" w:lineRule="auto"/>
        <w:ind w:firstLine="525"/>
        <w:rPr>
          <w:rFonts w:hint="eastAsia" w:ascii="宋体" w:hAnsi="宋体" w:cs="宋体"/>
          <w:b/>
          <w:bCs/>
          <w:sz w:val="24"/>
        </w:rPr>
      </w:pPr>
      <w:r>
        <w:rPr>
          <w:rFonts w:hint="eastAsia" w:ascii="宋体" w:hAnsi="宋体" w:cs="宋体"/>
          <w:b/>
          <w:bCs/>
          <w:sz w:val="24"/>
        </w:rPr>
        <w:t>14.签章的效力</w:t>
      </w:r>
    </w:p>
    <w:p>
      <w:pPr>
        <w:snapToGrid w:val="0"/>
        <w:spacing w:line="360" w:lineRule="auto"/>
        <w:ind w:firstLine="480" w:firstLineChars="200"/>
        <w:rPr>
          <w:rFonts w:hint="eastAsia" w:ascii="宋体" w:hAnsi="宋体" w:cs="宋体"/>
          <w:sz w:val="24"/>
        </w:rPr>
      </w:pPr>
      <w:r>
        <w:rPr>
          <w:rFonts w:hint="eastAsia" w:ascii="宋体" w:hAnsi="宋体" w:cs="宋体"/>
          <w:sz w:val="24"/>
        </w:rPr>
        <w:t>谈判文件中明确要求加盖单位签章的，供应商必须加盖供应商签章。</w:t>
      </w:r>
    </w:p>
    <w:p>
      <w:pPr>
        <w:pStyle w:val="28"/>
        <w:snapToGrid w:val="0"/>
        <w:spacing w:line="360" w:lineRule="auto"/>
        <w:rPr>
          <w:rFonts w:hint="eastAsia" w:ascii="宋体" w:hAnsi="宋体" w:cs="宋体"/>
          <w:b/>
          <w:sz w:val="24"/>
          <w:szCs w:val="24"/>
        </w:rPr>
      </w:pPr>
      <w:bookmarkStart w:id="11" w:name="_Toc385492628"/>
      <w:r>
        <w:rPr>
          <w:rFonts w:hint="eastAsia" w:ascii="宋体" w:hAnsi="宋体" w:cs="宋体"/>
          <w:b/>
          <w:sz w:val="24"/>
          <w:szCs w:val="24"/>
        </w:rPr>
        <w:t>（四）谈判响应书的编制</w:t>
      </w:r>
      <w:bookmarkEnd w:id="11"/>
    </w:p>
    <w:p>
      <w:pPr>
        <w:snapToGrid w:val="0"/>
        <w:spacing w:line="360" w:lineRule="auto"/>
        <w:ind w:firstLine="480" w:firstLineChars="200"/>
        <w:rPr>
          <w:rFonts w:hint="eastAsia" w:ascii="宋体" w:hAnsi="宋体" w:cs="宋体"/>
          <w:b/>
          <w:sz w:val="24"/>
        </w:rPr>
      </w:pPr>
      <w:r>
        <w:rPr>
          <w:rFonts w:hint="eastAsia" w:ascii="宋体" w:hAnsi="宋体" w:cs="宋体"/>
          <w:b/>
          <w:sz w:val="24"/>
        </w:rPr>
        <w:t>15．谈判响应的语言及度量衡单位</w:t>
      </w:r>
    </w:p>
    <w:p>
      <w:pPr>
        <w:snapToGrid w:val="0"/>
        <w:spacing w:line="360" w:lineRule="auto"/>
        <w:ind w:firstLine="480" w:firstLineChars="200"/>
        <w:rPr>
          <w:rFonts w:hint="eastAsia" w:ascii="宋体" w:hAnsi="宋体" w:cs="宋体"/>
          <w:sz w:val="24"/>
        </w:rPr>
      </w:pPr>
      <w:r>
        <w:rPr>
          <w:rFonts w:hint="eastAsia" w:ascii="宋体" w:hAnsi="宋体" w:cs="宋体"/>
          <w:sz w:val="24"/>
        </w:rPr>
        <w:t>15.1供应商的谈判响应书、以及供应商与采购单位就谈判响应的所有往来函电，均须使用简体中文。</w:t>
      </w:r>
    </w:p>
    <w:p>
      <w:pPr>
        <w:snapToGrid w:val="0"/>
        <w:spacing w:line="360" w:lineRule="auto"/>
        <w:ind w:firstLine="480" w:firstLineChars="200"/>
        <w:rPr>
          <w:rFonts w:hint="eastAsia" w:ascii="宋体" w:hAnsi="宋体" w:cs="宋体"/>
          <w:sz w:val="24"/>
        </w:rPr>
      </w:pPr>
      <w:r>
        <w:rPr>
          <w:rFonts w:hint="eastAsia" w:ascii="宋体" w:hAnsi="宋体" w:cs="宋体"/>
          <w:sz w:val="24"/>
        </w:rPr>
        <w:t>15.2除竞争性谈判文件中另有规定外，谈判响应书所使用的度量衡均须采用法定计量单位。</w:t>
      </w:r>
    </w:p>
    <w:p>
      <w:pPr>
        <w:snapToGrid w:val="0"/>
        <w:spacing w:line="360" w:lineRule="auto"/>
        <w:ind w:firstLine="480" w:firstLineChars="200"/>
        <w:rPr>
          <w:rFonts w:hint="eastAsia" w:ascii="宋体" w:hAnsi="宋体" w:cs="宋体"/>
          <w:b/>
          <w:sz w:val="24"/>
        </w:rPr>
      </w:pPr>
      <w:r>
        <w:rPr>
          <w:rFonts w:hint="eastAsia" w:ascii="宋体" w:hAnsi="宋体" w:cs="宋体"/>
          <w:b/>
          <w:sz w:val="24"/>
        </w:rPr>
        <w:t>16．谈判响应书构成</w:t>
      </w:r>
    </w:p>
    <w:p>
      <w:pPr>
        <w:snapToGrid w:val="0"/>
        <w:spacing w:line="360" w:lineRule="auto"/>
        <w:ind w:firstLine="480" w:firstLineChars="200"/>
        <w:rPr>
          <w:rFonts w:hint="eastAsia" w:ascii="宋体" w:hAnsi="宋体" w:cs="宋体"/>
          <w:sz w:val="24"/>
        </w:rPr>
      </w:pPr>
      <w:r>
        <w:rPr>
          <w:rFonts w:hint="eastAsia" w:ascii="宋体" w:hAnsi="宋体" w:cs="宋体"/>
          <w:sz w:val="24"/>
        </w:rPr>
        <w:t>16.1 谈判响应书应包括本竞争性谈判文件第二章谈判响应书中所规定的全部内容。</w:t>
      </w:r>
    </w:p>
    <w:p>
      <w:pPr>
        <w:snapToGrid w:val="0"/>
        <w:spacing w:line="360" w:lineRule="auto"/>
        <w:ind w:firstLine="480" w:firstLineChars="200"/>
        <w:rPr>
          <w:rFonts w:hint="eastAsia" w:ascii="宋体" w:hAnsi="宋体" w:cs="宋体"/>
          <w:sz w:val="24"/>
        </w:rPr>
      </w:pPr>
      <w:r>
        <w:rPr>
          <w:rFonts w:hint="eastAsia" w:ascii="宋体" w:hAnsi="宋体" w:cs="宋体"/>
          <w:sz w:val="24"/>
        </w:rPr>
        <w:t>16.2 供应商必须对其谈判响应书的真实性与准确性负责。供应商一旦成为成交供应商，其谈判响应书将作为合同的重要组成部分。</w:t>
      </w:r>
    </w:p>
    <w:p>
      <w:pPr>
        <w:snapToGrid w:val="0"/>
        <w:spacing w:line="360" w:lineRule="auto"/>
        <w:ind w:firstLine="480" w:firstLineChars="200"/>
        <w:rPr>
          <w:rFonts w:hint="eastAsia" w:ascii="宋体" w:hAnsi="宋体" w:cs="宋体"/>
          <w:sz w:val="24"/>
        </w:rPr>
      </w:pPr>
      <w:r>
        <w:rPr>
          <w:rFonts w:hint="eastAsia" w:ascii="宋体" w:hAnsi="宋体" w:cs="宋体"/>
          <w:sz w:val="24"/>
        </w:rPr>
        <w:t>16.3供应商不得擅自对竞争性谈判文件的格式、条款和技术要求进行修改。否则，其谈判响应书在谈判时有可能被认为是未对竞争性谈判文件做出实质性的响应而中止对其作进一步的评审。</w:t>
      </w:r>
    </w:p>
    <w:p>
      <w:pPr>
        <w:snapToGrid w:val="0"/>
        <w:spacing w:line="360" w:lineRule="auto"/>
        <w:ind w:firstLine="480" w:firstLineChars="200"/>
        <w:rPr>
          <w:rFonts w:hint="eastAsia" w:ascii="宋体" w:hAnsi="宋体" w:cs="宋体"/>
          <w:bCs/>
          <w:sz w:val="24"/>
        </w:rPr>
      </w:pPr>
      <w:r>
        <w:rPr>
          <w:rFonts w:hint="eastAsia" w:ascii="宋体" w:hAnsi="宋体" w:cs="宋体"/>
          <w:b/>
          <w:sz w:val="24"/>
        </w:rPr>
        <w:t>17．谈判响应报价</w:t>
      </w:r>
    </w:p>
    <w:p>
      <w:pPr>
        <w:snapToGrid w:val="0"/>
        <w:spacing w:line="360" w:lineRule="auto"/>
        <w:ind w:firstLine="480" w:firstLineChars="200"/>
        <w:rPr>
          <w:rFonts w:hint="eastAsia" w:ascii="宋体" w:hAnsi="宋体" w:cs="宋体"/>
          <w:sz w:val="24"/>
        </w:rPr>
      </w:pPr>
      <w:r>
        <w:rPr>
          <w:rFonts w:hint="eastAsia" w:ascii="宋体" w:hAnsi="宋体" w:cs="宋体"/>
          <w:sz w:val="24"/>
        </w:rPr>
        <w:t>17.1 谈判响应报价应清楚地标明供应商拟提供服务的名称、单价和总价。只允许有一个方案、一个报价，多方案、多报价的谈判响应将不被接受。响应报价超过项目预算控制数或不按规定格式进行报价的属于无效响应。</w:t>
      </w:r>
    </w:p>
    <w:p>
      <w:pPr>
        <w:snapToGrid w:val="0"/>
        <w:spacing w:line="360" w:lineRule="auto"/>
        <w:ind w:firstLine="480" w:firstLineChars="200"/>
        <w:rPr>
          <w:rFonts w:hint="eastAsia" w:ascii="宋体" w:hAnsi="宋体" w:cs="宋体"/>
          <w:sz w:val="24"/>
        </w:rPr>
      </w:pPr>
      <w:r>
        <w:rPr>
          <w:rFonts w:hint="eastAsia" w:ascii="宋体" w:hAnsi="宋体" w:cs="宋体"/>
          <w:sz w:val="24"/>
        </w:rPr>
        <w:t>17.2投标报价表上的价格是服务总价，其总价即为履行合同的固定价格。报价应当低于同类服务的市场平均价格。除非谈判文件另有规定，投标报价均不得高于谈判文件（公告）列明的控制价、项目预算</w:t>
      </w:r>
    </w:p>
    <w:p>
      <w:pPr>
        <w:snapToGrid w:val="0"/>
        <w:spacing w:line="360" w:lineRule="auto"/>
        <w:ind w:firstLine="480" w:firstLineChars="200"/>
        <w:rPr>
          <w:rFonts w:hint="eastAsia" w:ascii="宋体" w:hAnsi="宋体" w:cs="宋体"/>
          <w:sz w:val="24"/>
        </w:rPr>
      </w:pPr>
      <w:r>
        <w:rPr>
          <w:rFonts w:hint="eastAsia" w:ascii="宋体" w:hAnsi="宋体" w:cs="宋体"/>
          <w:sz w:val="24"/>
        </w:rPr>
        <w:t>17.3　投标供应商的报价应包含所投工程、服务、保险、税费、验收和交付后约定期限内免费维保服务等工作所发生的一切应有费用。投标报价为签订合同的依据</w:t>
      </w:r>
    </w:p>
    <w:p>
      <w:pPr>
        <w:snapToGrid w:val="0"/>
        <w:spacing w:line="360" w:lineRule="auto"/>
        <w:ind w:firstLine="480" w:firstLineChars="200"/>
        <w:rPr>
          <w:rFonts w:hint="eastAsia" w:ascii="宋体" w:hAnsi="宋体" w:cs="宋体"/>
          <w:sz w:val="24"/>
        </w:rPr>
      </w:pPr>
      <w:r>
        <w:rPr>
          <w:rFonts w:hint="eastAsia" w:ascii="宋体" w:hAnsi="宋体" w:cs="宋体"/>
          <w:sz w:val="24"/>
        </w:rPr>
        <w:t>17.4供应商应在谈判响应文件中注明拟提供服务的单价、服务内容明细和总价。除政策性文件规定以外，供应商所报价格在合同实施期间不因市场变化因素而变动。</w:t>
      </w:r>
    </w:p>
    <w:p>
      <w:pPr>
        <w:snapToGrid w:val="0"/>
        <w:spacing w:line="360" w:lineRule="auto"/>
        <w:ind w:firstLine="480" w:firstLineChars="200"/>
        <w:rPr>
          <w:rFonts w:hint="eastAsia" w:ascii="宋体" w:hAnsi="宋体" w:cs="宋体"/>
          <w:bCs/>
          <w:sz w:val="24"/>
        </w:rPr>
      </w:pPr>
      <w:r>
        <w:rPr>
          <w:rFonts w:hint="eastAsia" w:ascii="宋体" w:hAnsi="宋体" w:cs="宋体"/>
          <w:b/>
          <w:bCs/>
          <w:sz w:val="24"/>
        </w:rPr>
        <w:t>18.</w:t>
      </w:r>
      <w:r>
        <w:rPr>
          <w:rFonts w:hint="eastAsia" w:ascii="宋体" w:hAnsi="宋体" w:cs="宋体"/>
          <w:b/>
          <w:sz w:val="24"/>
        </w:rPr>
        <w:t>谈判响应货币：</w:t>
      </w:r>
      <w:r>
        <w:rPr>
          <w:rFonts w:hint="eastAsia" w:ascii="宋体" w:hAnsi="宋体" w:cs="宋体"/>
          <w:bCs/>
          <w:sz w:val="24"/>
        </w:rPr>
        <w:t>须以人民币报价。</w:t>
      </w:r>
    </w:p>
    <w:p>
      <w:pPr>
        <w:snapToGrid w:val="0"/>
        <w:spacing w:line="360" w:lineRule="auto"/>
        <w:ind w:firstLine="480" w:firstLineChars="200"/>
        <w:rPr>
          <w:rFonts w:hint="eastAsia" w:ascii="宋体" w:hAnsi="宋体" w:cs="宋体"/>
          <w:b/>
          <w:sz w:val="24"/>
        </w:rPr>
      </w:pPr>
      <w:r>
        <w:rPr>
          <w:rFonts w:hint="eastAsia" w:ascii="宋体" w:hAnsi="宋体" w:cs="宋体"/>
          <w:b/>
          <w:sz w:val="24"/>
        </w:rPr>
        <w:t>19．证明供应商合格的资格文件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19.1供应商在其谈判响应书中，应根据谈判文件要求提交证明其有资格参加谈判和成交后有能力履行合同的资质证明文件，作为其谈判文件的一部分。</w:t>
      </w:r>
    </w:p>
    <w:p>
      <w:pPr>
        <w:snapToGrid w:val="0"/>
        <w:spacing w:line="360" w:lineRule="auto"/>
        <w:ind w:firstLine="480" w:firstLineChars="200"/>
        <w:rPr>
          <w:rFonts w:hint="eastAsia" w:ascii="宋体" w:hAnsi="宋体" w:cs="宋体"/>
          <w:sz w:val="24"/>
        </w:rPr>
      </w:pPr>
      <w:r>
        <w:rPr>
          <w:rFonts w:hint="eastAsia" w:ascii="宋体" w:hAnsi="宋体" w:cs="宋体"/>
          <w:sz w:val="24"/>
        </w:rPr>
        <w:t>19.2供应商资质证书（或资格证明）处于年检、换证、升级、变更等期间，除非法律法规或发证机构有书面材料明确表明供应商资质（或资格)有效，否则一律不予认可</w:t>
      </w:r>
    </w:p>
    <w:p>
      <w:pPr>
        <w:snapToGrid w:val="0"/>
        <w:spacing w:line="360" w:lineRule="auto"/>
        <w:ind w:firstLine="480" w:firstLineChars="200"/>
        <w:rPr>
          <w:rFonts w:hint="eastAsia" w:ascii="宋体" w:hAnsi="宋体" w:cs="宋体"/>
          <w:b/>
          <w:sz w:val="24"/>
        </w:rPr>
      </w:pPr>
      <w:r>
        <w:rPr>
          <w:rFonts w:hint="eastAsia" w:ascii="宋体" w:hAnsi="宋体" w:cs="宋体"/>
          <w:b/>
          <w:sz w:val="24"/>
        </w:rPr>
        <w:t>20．谈判响应保证金（本项目无）。</w:t>
      </w:r>
    </w:p>
    <w:p>
      <w:pPr>
        <w:snapToGrid w:val="0"/>
        <w:spacing w:line="360" w:lineRule="auto"/>
        <w:ind w:firstLine="480" w:firstLineChars="200"/>
        <w:rPr>
          <w:rFonts w:hint="eastAsia" w:ascii="宋体" w:hAnsi="宋体" w:cs="宋体"/>
          <w:b/>
          <w:sz w:val="24"/>
        </w:rPr>
      </w:pPr>
      <w:r>
        <w:rPr>
          <w:rFonts w:hint="eastAsia" w:ascii="宋体" w:hAnsi="宋体" w:cs="宋体"/>
          <w:b/>
          <w:sz w:val="24"/>
        </w:rPr>
        <w:t>21．谈判响应书的密封和标记</w:t>
      </w:r>
    </w:p>
    <w:p>
      <w:pPr>
        <w:snapToGrid w:val="0"/>
        <w:spacing w:line="360" w:lineRule="auto"/>
        <w:ind w:firstLine="480" w:firstLineChars="200"/>
        <w:rPr>
          <w:rFonts w:hint="eastAsia"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.1</w:t>
      </w:r>
      <w:bookmarkStart w:id="12" w:name="_Hlt509650747"/>
      <w:bookmarkEnd w:id="12"/>
      <w:bookmarkStart w:id="13" w:name="_Hlk77059503"/>
      <w:r>
        <w:rPr>
          <w:rFonts w:hint="eastAsia" w:ascii="宋体" w:hAnsi="宋体" w:cs="宋体"/>
          <w:sz w:val="24"/>
        </w:rPr>
        <w:t>谈判响应书</w:t>
      </w:r>
      <w:bookmarkEnd w:id="13"/>
      <w:r>
        <w:rPr>
          <w:rFonts w:hint="eastAsia" w:ascii="宋体" w:hAnsi="宋体" w:cs="宋体"/>
          <w:sz w:val="24"/>
        </w:rPr>
        <w:t>应在要求加盖公章的部分，加盖公章。</w:t>
      </w:r>
    </w:p>
    <w:p>
      <w:pPr>
        <w:snapToGrid w:val="0"/>
        <w:spacing w:line="360" w:lineRule="auto"/>
        <w:ind w:firstLine="480" w:firstLineChars="200"/>
        <w:rPr>
          <w:rFonts w:hint="eastAsia"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.2提交响应文件截止时间前，供应商须到达公告指定的地点将谈判响应书现场提交。纸质谈判响应书均应当密封，并在密封袋上标注项目名称、项目编号、供应商名称及包别。纸质谈判响应书还应装订成册。</w:t>
      </w:r>
    </w:p>
    <w:p>
      <w:pPr>
        <w:snapToGrid w:val="0"/>
        <w:spacing w:line="360" w:lineRule="auto"/>
        <w:ind w:firstLine="480" w:firstLineChars="200"/>
        <w:rPr>
          <w:rFonts w:hint="eastAsia"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.3未按规定封装或加写标记或递交，采购人将不承担谈判响应书错放或提前开封的责任，并导致该类别文件递交无效。</w:t>
      </w:r>
    </w:p>
    <w:p>
      <w:pPr>
        <w:snapToGrid w:val="0"/>
        <w:spacing w:line="360" w:lineRule="auto"/>
        <w:ind w:firstLine="480" w:firstLineChars="200"/>
        <w:rPr>
          <w:rFonts w:hint="eastAsia"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.4 供应商应按照谈判响应供应商须知前附表的要求准备谈判响应书。</w:t>
      </w:r>
    </w:p>
    <w:p>
      <w:pPr>
        <w:pStyle w:val="28"/>
        <w:snapToGrid w:val="0"/>
        <w:spacing w:line="360" w:lineRule="auto"/>
        <w:rPr>
          <w:rFonts w:hint="eastAsia" w:ascii="宋体" w:hAnsi="宋体" w:cs="宋体"/>
          <w:b/>
          <w:sz w:val="24"/>
          <w:szCs w:val="24"/>
        </w:rPr>
      </w:pPr>
      <w:r>
        <w:rPr>
          <w:rFonts w:hint="eastAsia" w:ascii="宋体" w:hAnsi="宋体" w:cs="宋体"/>
          <w:b/>
          <w:sz w:val="24"/>
          <w:szCs w:val="24"/>
        </w:rPr>
        <w:t>（五） 谈判响应书的提交</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22.1投标人应按</w:t>
      </w:r>
      <w:r>
        <w:rPr>
          <w:rFonts w:hint="eastAsia" w:ascii="宋体" w:hAnsi="宋体" w:eastAsia="宋体" w:cs="宋体"/>
          <w:sz w:val="24"/>
          <w:lang w:eastAsia="zh-CN"/>
        </w:rPr>
        <w:t>谈判</w:t>
      </w:r>
      <w:r>
        <w:rPr>
          <w:rFonts w:hint="eastAsia" w:ascii="宋体" w:hAnsi="宋体" w:eastAsia="宋体" w:cs="宋体"/>
          <w:sz w:val="24"/>
        </w:rPr>
        <w:t>公告中规定的地点，于截止时间前提交投标文件。</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b/>
          <w:bCs/>
          <w:sz w:val="24"/>
          <w:lang w:eastAsia="zh-CN"/>
        </w:rPr>
        <w:t>注：</w:t>
      </w:r>
      <w:r>
        <w:rPr>
          <w:rFonts w:hint="eastAsia" w:ascii="宋体" w:hAnsi="宋体" w:eastAsia="宋体" w:cs="宋体"/>
          <w:b/>
          <w:bCs/>
          <w:sz w:val="24"/>
        </w:rPr>
        <w:t>电子件（U盘）可随谈判响应书一同密封提交，也可以开标结束后交给代理机构，具体提交方式供应商自行选择</w:t>
      </w:r>
      <w:r>
        <w:rPr>
          <w:rFonts w:hint="eastAsia" w:ascii="宋体" w:hAnsi="宋体" w:eastAsia="宋体" w:cs="宋体"/>
          <w:sz w:val="24"/>
        </w:rPr>
        <w:t>。</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22.2.迟交的谈判响应书</w:t>
      </w:r>
    </w:p>
    <w:p>
      <w:pPr>
        <w:snapToGrid w:val="0"/>
        <w:spacing w:line="360" w:lineRule="auto"/>
        <w:ind w:firstLine="480" w:firstLineChars="200"/>
        <w:rPr>
          <w:rFonts w:hint="eastAsia" w:ascii="宋体" w:hAnsi="宋体" w:cs="宋体"/>
          <w:sz w:val="24"/>
        </w:rPr>
      </w:pPr>
      <w:r>
        <w:rPr>
          <w:rFonts w:hint="eastAsia" w:ascii="宋体" w:hAnsi="宋体" w:cs="宋体"/>
          <w:sz w:val="24"/>
        </w:rPr>
        <w:t>22.3投标人在投标截止时间后递交的投标文件，将被拒绝。</w:t>
      </w:r>
    </w:p>
    <w:p>
      <w:pPr>
        <w:snapToGrid w:val="0"/>
        <w:spacing w:line="360" w:lineRule="auto"/>
        <w:ind w:firstLine="480" w:firstLineChars="200"/>
        <w:rPr>
          <w:rFonts w:hint="eastAsia" w:ascii="宋体" w:hAnsi="宋体" w:cs="宋体"/>
          <w:sz w:val="24"/>
        </w:rPr>
      </w:pPr>
      <w:r>
        <w:rPr>
          <w:rFonts w:hint="eastAsia" w:ascii="宋体" w:hAnsi="宋体" w:cs="宋体"/>
          <w:sz w:val="24"/>
        </w:rPr>
        <w:t>22.4谈判响应书的补充、修改与撤回</w:t>
      </w:r>
    </w:p>
    <w:p>
      <w:pPr>
        <w:snapToGrid w:val="0"/>
        <w:spacing w:line="360" w:lineRule="auto"/>
        <w:ind w:firstLine="480" w:firstLineChars="200"/>
        <w:rPr>
          <w:rFonts w:hint="eastAsia" w:ascii="宋体" w:hAnsi="宋体" w:cs="宋体"/>
          <w:sz w:val="24"/>
        </w:rPr>
      </w:pPr>
      <w:r>
        <w:rPr>
          <w:rFonts w:hint="eastAsia" w:ascii="宋体" w:hAnsi="宋体" w:cs="宋体"/>
          <w:sz w:val="24"/>
        </w:rPr>
        <w:t>22.4.1 投标人在提交投标文件以后，在规定的投标截止时间之前，可以补充、修改或撤回已提交的投标文件，并通知采购人。补充、修改的内容为投标文件的组成部分。</w:t>
      </w:r>
    </w:p>
    <w:p>
      <w:pPr>
        <w:snapToGrid w:val="0"/>
        <w:spacing w:line="360" w:lineRule="auto"/>
        <w:ind w:firstLine="480" w:firstLineChars="200"/>
        <w:rPr>
          <w:rFonts w:hint="eastAsia" w:ascii="宋体" w:hAnsi="宋体" w:cs="宋体"/>
          <w:sz w:val="24"/>
        </w:rPr>
      </w:pPr>
      <w:r>
        <w:rPr>
          <w:rFonts w:hint="eastAsia" w:ascii="宋体" w:hAnsi="宋体" w:cs="宋体"/>
          <w:sz w:val="24"/>
        </w:rPr>
        <w:t>22.4.2 采用纸质投标文件的，投标人对投标文件的补充、修改或撤回通知，应按须知本</w:t>
      </w:r>
      <w:r>
        <w:rPr>
          <w:rFonts w:hint="eastAsia" w:ascii="宋体" w:hAnsi="宋体" w:cs="宋体"/>
          <w:sz w:val="24"/>
          <w:lang w:eastAsia="zh-CN"/>
        </w:rPr>
        <w:t>谈判</w:t>
      </w:r>
      <w:r>
        <w:rPr>
          <w:rFonts w:hint="eastAsia" w:ascii="宋体" w:hAnsi="宋体" w:cs="宋体"/>
          <w:sz w:val="24"/>
        </w:rPr>
        <w:t>文件的规定密封、标记和提交，并在投标文件密封袋上清楚标明“补充、修改”或“撤回”字样。否则，补充、修改或撤回通知无效。</w:t>
      </w:r>
    </w:p>
    <w:p>
      <w:pPr>
        <w:snapToGrid w:val="0"/>
        <w:spacing w:line="360" w:lineRule="auto"/>
        <w:ind w:firstLine="480" w:firstLineChars="200"/>
        <w:rPr>
          <w:rFonts w:hint="eastAsia" w:ascii="宋体" w:hAnsi="宋体" w:cs="宋体"/>
          <w:sz w:val="24"/>
        </w:rPr>
      </w:pPr>
      <w:r>
        <w:rPr>
          <w:rFonts w:hint="eastAsia" w:ascii="宋体" w:hAnsi="宋体" w:cs="宋体"/>
          <w:sz w:val="24"/>
        </w:rPr>
        <w:t>22.4.3 在投标截止时间之后，投标人不得补充、修改投标文件。</w:t>
      </w:r>
    </w:p>
    <w:p>
      <w:pPr>
        <w:pStyle w:val="28"/>
        <w:snapToGrid w:val="0"/>
        <w:spacing w:line="360" w:lineRule="auto"/>
        <w:rPr>
          <w:rFonts w:hint="eastAsia" w:ascii="宋体" w:hAnsi="宋体" w:cs="宋体"/>
          <w:b/>
          <w:sz w:val="24"/>
          <w:szCs w:val="24"/>
        </w:rPr>
      </w:pPr>
      <w:r>
        <w:rPr>
          <w:rFonts w:hint="eastAsia" w:ascii="宋体" w:hAnsi="宋体" w:cs="宋体"/>
          <w:b/>
          <w:sz w:val="24"/>
          <w:szCs w:val="24"/>
        </w:rPr>
        <w:t>（六）开标现场</w:t>
      </w:r>
    </w:p>
    <w:p>
      <w:pPr>
        <w:pStyle w:val="28"/>
        <w:snapToGrid w:val="0"/>
        <w:spacing w:line="360" w:lineRule="auto"/>
        <w:ind w:firstLine="480" w:firstLineChars="200"/>
        <w:jc w:val="both"/>
        <w:rPr>
          <w:rFonts w:hint="eastAsia" w:ascii="宋体" w:hAnsi="宋体" w:cs="宋体"/>
          <w:b/>
          <w:sz w:val="24"/>
          <w:szCs w:val="24"/>
        </w:rPr>
      </w:pPr>
      <w:r>
        <w:rPr>
          <w:rFonts w:hint="eastAsia" w:ascii="宋体" w:hAnsi="宋体" w:cs="宋体"/>
          <w:b/>
          <w:sz w:val="24"/>
          <w:szCs w:val="24"/>
        </w:rPr>
        <w:t>23.开标程序</w:t>
      </w:r>
    </w:p>
    <w:p>
      <w:pPr>
        <w:snapToGrid w:val="0"/>
        <w:spacing w:line="360" w:lineRule="auto"/>
        <w:ind w:firstLine="480" w:firstLineChars="200"/>
        <w:rPr>
          <w:rFonts w:ascii="宋体" w:hAnsi="宋体" w:cs="宋体"/>
          <w:sz w:val="24"/>
        </w:rPr>
      </w:pPr>
      <w:r>
        <w:rPr>
          <w:rFonts w:hint="eastAsia" w:ascii="宋体" w:hAnsi="宋体" w:cs="宋体"/>
          <w:sz w:val="24"/>
        </w:rPr>
        <w:t>23.1 主持人按时间安排表所规定的时间和地点开标，并邀请所有供应商代表参加。应携带身份证明、谈判响应文件（用密封袋密封）参加开标并签到。</w:t>
      </w:r>
    </w:p>
    <w:p>
      <w:pPr>
        <w:snapToGrid w:val="0"/>
        <w:spacing w:line="360" w:lineRule="auto"/>
        <w:ind w:firstLine="480" w:firstLineChars="200"/>
        <w:rPr>
          <w:rFonts w:ascii="宋体" w:hAnsi="宋体" w:cs="宋体"/>
          <w:sz w:val="24"/>
        </w:rPr>
      </w:pPr>
      <w:r>
        <w:rPr>
          <w:rFonts w:hint="eastAsia" w:ascii="宋体" w:hAnsi="宋体" w:cs="宋体"/>
          <w:sz w:val="24"/>
        </w:rPr>
        <w:t>23.2 按规定提交合格的撤回通知的谈判响应文件不予开封，并退回给供应商。</w:t>
      </w:r>
    </w:p>
    <w:p>
      <w:pPr>
        <w:snapToGrid w:val="0"/>
        <w:spacing w:line="360" w:lineRule="auto"/>
        <w:ind w:firstLine="480" w:firstLineChars="200"/>
        <w:rPr>
          <w:rFonts w:ascii="宋体" w:hAnsi="宋体" w:cs="宋体"/>
          <w:sz w:val="24"/>
        </w:rPr>
      </w:pPr>
      <w:r>
        <w:rPr>
          <w:rFonts w:hint="eastAsia" w:ascii="宋体" w:hAnsi="宋体" w:cs="宋体"/>
          <w:sz w:val="24"/>
        </w:rPr>
        <w:t>23.3 开标由代理机构相关人员主持，主持人并按下列程序进行，任何对开标期间的质疑应当在开标当场即时提出，否则视同供应商对开标过程理解和接受。</w:t>
      </w:r>
    </w:p>
    <w:p>
      <w:pPr>
        <w:snapToGrid w:val="0"/>
        <w:spacing w:line="360" w:lineRule="auto"/>
        <w:ind w:firstLine="480" w:firstLineChars="200"/>
        <w:rPr>
          <w:rFonts w:ascii="宋体" w:hAnsi="宋体" w:cs="宋体"/>
          <w:sz w:val="24"/>
        </w:rPr>
      </w:pPr>
      <w:r>
        <w:rPr>
          <w:rFonts w:hint="eastAsia" w:ascii="宋体" w:hAnsi="宋体" w:cs="宋体"/>
          <w:sz w:val="24"/>
        </w:rPr>
        <w:t>23.3.1主持人公布在投标截止时间前递交响应文件的供应商名称，并与供应商代表检查响应文件装订、密封、标记情况。有异议的应当场提出，标书开启后不再接受任何对标书密封、装订、标记情况的异议和投诉。</w:t>
      </w:r>
    </w:p>
    <w:p>
      <w:pPr>
        <w:snapToGrid w:val="0"/>
        <w:spacing w:line="360" w:lineRule="auto"/>
        <w:ind w:firstLine="480" w:firstLineChars="200"/>
        <w:rPr>
          <w:rFonts w:hint="eastAsia" w:ascii="宋体" w:hAnsi="宋体" w:cs="宋体"/>
          <w:sz w:val="24"/>
        </w:rPr>
      </w:pPr>
      <w:r>
        <w:rPr>
          <w:rFonts w:hint="eastAsia" w:ascii="宋体" w:hAnsi="宋体" w:cs="宋体"/>
          <w:sz w:val="24"/>
        </w:rPr>
        <w:t>23.3.2主持人告知所有投标人，任何对开标期间的异议应当在开标现场提出，开标结束后，不再接受任何对开标的异议和投诉；</w:t>
      </w:r>
    </w:p>
    <w:p>
      <w:pPr>
        <w:snapToGrid w:val="0"/>
        <w:spacing w:line="360" w:lineRule="auto"/>
        <w:jc w:val="center"/>
        <w:rPr>
          <w:rFonts w:hint="eastAsia" w:ascii="宋体" w:hAnsi="宋体" w:cs="宋体"/>
          <w:b/>
          <w:sz w:val="24"/>
        </w:rPr>
      </w:pPr>
      <w:r>
        <w:rPr>
          <w:rFonts w:hint="eastAsia" w:ascii="宋体" w:hAnsi="宋体" w:cs="宋体"/>
          <w:b/>
          <w:bCs/>
          <w:kern w:val="0"/>
          <w:sz w:val="24"/>
        </w:rPr>
        <w:t>（七）</w:t>
      </w:r>
      <w:r>
        <w:rPr>
          <w:rFonts w:hint="eastAsia" w:ascii="宋体" w:hAnsi="宋体" w:cs="宋体"/>
          <w:b/>
          <w:sz w:val="24"/>
        </w:rPr>
        <w:t>谈判与评审</w:t>
      </w:r>
    </w:p>
    <w:p>
      <w:pPr>
        <w:snapToGrid w:val="0"/>
        <w:spacing w:line="360" w:lineRule="auto"/>
        <w:ind w:firstLine="480" w:firstLineChars="200"/>
        <w:rPr>
          <w:rFonts w:hint="eastAsia" w:ascii="宋体" w:hAnsi="宋体" w:cs="宋体"/>
          <w:b/>
          <w:sz w:val="24"/>
        </w:rPr>
      </w:pPr>
      <w:r>
        <w:rPr>
          <w:rFonts w:hint="eastAsia" w:ascii="宋体" w:hAnsi="宋体" w:cs="宋体"/>
          <w:b/>
          <w:sz w:val="24"/>
        </w:rPr>
        <w:t>24.谈判与评审程序</w:t>
      </w:r>
    </w:p>
    <w:p>
      <w:pPr>
        <w:snapToGrid w:val="0"/>
        <w:spacing w:line="360" w:lineRule="auto"/>
        <w:ind w:firstLine="480" w:firstLineChars="200"/>
        <w:rPr>
          <w:rFonts w:hint="eastAsia" w:ascii="宋体" w:hAnsi="宋体" w:cs="宋体"/>
          <w:sz w:val="24"/>
        </w:rPr>
      </w:pPr>
      <w:r>
        <w:rPr>
          <w:rFonts w:hint="eastAsia" w:ascii="宋体" w:hAnsi="宋体" w:cs="宋体"/>
          <w:sz w:val="24"/>
        </w:rPr>
        <w:t>24.1、谈判小组由采购人依法组建，成员人数为3人以上单数。谈判小组成员名单在成交结果确定前应当保密。</w:t>
      </w:r>
    </w:p>
    <w:p>
      <w:pPr>
        <w:snapToGrid w:val="0"/>
        <w:spacing w:line="360" w:lineRule="auto"/>
        <w:ind w:firstLine="480" w:firstLineChars="200"/>
        <w:rPr>
          <w:rFonts w:hint="eastAsia" w:ascii="宋体" w:hAnsi="宋体" w:cs="宋体"/>
          <w:sz w:val="24"/>
        </w:rPr>
      </w:pPr>
      <w:r>
        <w:rPr>
          <w:rFonts w:hint="eastAsia" w:ascii="宋体" w:hAnsi="宋体" w:cs="宋体"/>
          <w:sz w:val="24"/>
        </w:rPr>
        <w:t>24.2、谈判小组首先对供应商的有效性进行审查，有效性审查不通过的，将不得进入谈判。</w:t>
      </w:r>
    </w:p>
    <w:p>
      <w:pPr>
        <w:snapToGrid w:val="0"/>
        <w:spacing w:line="360" w:lineRule="auto"/>
        <w:ind w:firstLine="480" w:firstLineChars="200"/>
        <w:rPr>
          <w:rFonts w:hint="eastAsia" w:ascii="宋体" w:hAnsi="宋体" w:cs="宋体"/>
          <w:sz w:val="24"/>
        </w:rPr>
      </w:pPr>
      <w:r>
        <w:rPr>
          <w:rFonts w:hint="eastAsia" w:ascii="宋体" w:hAnsi="宋体" w:cs="宋体"/>
          <w:sz w:val="24"/>
        </w:rPr>
        <w:t>24.3、谈判小组对供应商提交的谈判响应书进行审查，为谈判做好准备工作。</w:t>
      </w:r>
    </w:p>
    <w:p>
      <w:pPr>
        <w:snapToGrid w:val="0"/>
        <w:spacing w:line="360" w:lineRule="auto"/>
        <w:ind w:firstLine="480" w:firstLineChars="200"/>
        <w:rPr>
          <w:rFonts w:hint="eastAsia" w:ascii="宋体" w:hAnsi="宋体" w:cs="宋体"/>
          <w:sz w:val="24"/>
        </w:rPr>
      </w:pPr>
      <w:r>
        <w:rPr>
          <w:rFonts w:hint="eastAsia" w:ascii="宋体" w:hAnsi="宋体" w:cs="宋体"/>
          <w:sz w:val="24"/>
        </w:rPr>
        <w:t>24.4、谈判小组所有成员集中与单一供应商进行逐一谈判。</w:t>
      </w:r>
    </w:p>
    <w:p>
      <w:pPr>
        <w:snapToGrid w:val="0"/>
        <w:spacing w:line="360" w:lineRule="auto"/>
        <w:ind w:firstLine="480" w:firstLineChars="200"/>
        <w:rPr>
          <w:rFonts w:hint="eastAsia" w:ascii="宋体" w:hAnsi="宋体" w:cs="宋体"/>
          <w:sz w:val="24"/>
        </w:rPr>
      </w:pPr>
      <w:r>
        <w:rPr>
          <w:rFonts w:hint="eastAsia" w:ascii="宋体" w:hAnsi="宋体" w:cs="宋体"/>
          <w:sz w:val="24"/>
        </w:rPr>
        <w:t>24.5、谈判小组要求所有继续参加谈判的供应商在规定时间内提交最后报价。</w:t>
      </w:r>
    </w:p>
    <w:p>
      <w:pPr>
        <w:snapToGrid w:val="0"/>
        <w:spacing w:line="360" w:lineRule="auto"/>
        <w:ind w:firstLine="480" w:firstLineChars="200"/>
        <w:rPr>
          <w:rFonts w:hint="eastAsia" w:ascii="宋体" w:hAnsi="宋体" w:cs="宋体"/>
          <w:color w:val="auto"/>
          <w:sz w:val="24"/>
        </w:rPr>
      </w:pPr>
      <w:r>
        <w:rPr>
          <w:rFonts w:hint="eastAsia" w:ascii="宋体" w:hAnsi="宋体" w:cs="宋体"/>
          <w:sz w:val="24"/>
        </w:rPr>
        <w:t>24.6、</w:t>
      </w:r>
      <w:r>
        <w:rPr>
          <w:rFonts w:hint="eastAsia" w:ascii="宋体" w:hAnsi="宋体" w:cs="宋体"/>
          <w:color w:val="auto"/>
          <w:sz w:val="24"/>
        </w:rPr>
        <w:t>谈判小组在满足谈判文件实质性要求的供应商中，按最终报价从低到高的顺序推荐第一成交候选人。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对否定的供应商，谈判小组要提出充足的否定理由，并填写在评审记录上；对评审结果持有异议的，按照少数服从多数的原则由评委采取投票方式表决确定并记录入评审记录。</w:t>
      </w:r>
    </w:p>
    <w:p>
      <w:pPr>
        <w:snapToGrid w:val="0"/>
        <w:spacing w:line="360" w:lineRule="auto"/>
        <w:ind w:firstLine="480" w:firstLineChars="200"/>
        <w:rPr>
          <w:rFonts w:hint="eastAsia" w:ascii="宋体" w:hAnsi="宋体" w:cs="宋体"/>
          <w:b/>
          <w:kern w:val="0"/>
          <w:sz w:val="24"/>
        </w:rPr>
      </w:pPr>
      <w:r>
        <w:rPr>
          <w:rFonts w:hint="eastAsia" w:ascii="宋体" w:hAnsi="宋体" w:cs="宋体"/>
          <w:b/>
          <w:kern w:val="0"/>
          <w:sz w:val="24"/>
        </w:rPr>
        <w:t>25.谈判细则</w:t>
      </w:r>
    </w:p>
    <w:p>
      <w:pPr>
        <w:snapToGrid w:val="0"/>
        <w:spacing w:line="360" w:lineRule="auto"/>
        <w:ind w:firstLine="480" w:firstLineChars="200"/>
        <w:rPr>
          <w:rFonts w:hint="eastAsia" w:ascii="宋体" w:hAnsi="宋体" w:cs="宋体"/>
          <w:b/>
          <w:sz w:val="24"/>
        </w:rPr>
      </w:pPr>
      <w:r>
        <w:rPr>
          <w:rFonts w:hint="eastAsia" w:ascii="宋体" w:hAnsi="宋体" w:cs="宋体"/>
          <w:b/>
          <w:sz w:val="24"/>
        </w:rPr>
        <w:t>25.1资格审查</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由谈判小组对供应商资格进行审查</w:t>
      </w:r>
    </w:p>
    <w:p>
      <w:pPr>
        <w:snapToGrid w:val="0"/>
        <w:spacing w:line="360" w:lineRule="auto"/>
        <w:ind w:firstLine="480" w:firstLineChars="200"/>
        <w:rPr>
          <w:rFonts w:hint="eastAsia" w:ascii="宋体" w:hAnsi="宋体" w:cs="宋体"/>
          <w:b/>
          <w:sz w:val="24"/>
        </w:rPr>
      </w:pPr>
      <w:r>
        <w:rPr>
          <w:rFonts w:hint="eastAsia" w:ascii="宋体" w:hAnsi="宋体" w:cs="宋体"/>
          <w:b/>
          <w:sz w:val="24"/>
        </w:rPr>
        <w:t>25谈判响应书</w:t>
      </w:r>
    </w:p>
    <w:p>
      <w:pPr>
        <w:snapToGrid w:val="0"/>
        <w:spacing w:line="360" w:lineRule="auto"/>
        <w:ind w:firstLine="480" w:firstLineChars="200"/>
        <w:rPr>
          <w:rFonts w:hint="eastAsia" w:ascii="宋体" w:hAnsi="宋体" w:cs="宋体"/>
          <w:sz w:val="24"/>
        </w:rPr>
      </w:pPr>
      <w:r>
        <w:rPr>
          <w:rFonts w:hint="eastAsia" w:ascii="宋体" w:hAnsi="宋体" w:cs="宋体"/>
          <w:sz w:val="24"/>
        </w:rPr>
        <w:t>谈判开始前，谈判小组将认真审查供应商提交的谈判响应书，了解其与谈判文件要求是否有偏离，并对照本谈判文件规定评判供应商是否合格。</w:t>
      </w:r>
    </w:p>
    <w:p>
      <w:pPr>
        <w:snapToGrid w:val="0"/>
        <w:spacing w:line="360" w:lineRule="auto"/>
        <w:ind w:firstLine="480" w:firstLineChars="200"/>
        <w:rPr>
          <w:rFonts w:hint="eastAsia" w:ascii="宋体" w:hAnsi="宋体" w:cs="宋体"/>
          <w:b/>
          <w:sz w:val="24"/>
        </w:rPr>
      </w:pPr>
      <w:r>
        <w:rPr>
          <w:rFonts w:hint="eastAsia" w:ascii="宋体" w:hAnsi="宋体" w:cs="宋体"/>
          <w:b/>
          <w:sz w:val="24"/>
        </w:rPr>
        <w:t>25.1谈判</w:t>
      </w:r>
    </w:p>
    <w:p>
      <w:pPr>
        <w:snapToGrid w:val="0"/>
        <w:spacing w:line="360" w:lineRule="auto"/>
        <w:ind w:firstLine="480" w:firstLineChars="200"/>
        <w:rPr>
          <w:rFonts w:hint="eastAsia" w:ascii="宋体" w:hAnsi="宋体" w:cs="宋体"/>
          <w:sz w:val="24"/>
        </w:rPr>
      </w:pPr>
      <w:r>
        <w:rPr>
          <w:rFonts w:hint="eastAsia" w:ascii="宋体" w:hAnsi="宋体" w:cs="宋体"/>
          <w:sz w:val="24"/>
        </w:rPr>
        <w:t>25.1.1在掌握了供应商谈判响应书基本情况后，谈判小组将逐一与供应商分别进行谈判。谈判将采取N轮谈判、1轮报价（且为最后报价）的方式进行</w:t>
      </w:r>
      <w:bookmarkStart w:id="14" w:name="OLE_LINK1"/>
      <w:r>
        <w:rPr>
          <w:rFonts w:hint="eastAsia" w:ascii="宋体" w:hAnsi="宋体" w:cs="宋体"/>
          <w:sz w:val="24"/>
        </w:rPr>
        <w:t>，</w:t>
      </w:r>
      <w:r>
        <w:rPr>
          <w:rFonts w:hint="eastAsia" w:ascii="宋体" w:hAnsi="宋体" w:cs="宋体"/>
          <w:b/>
          <w:sz w:val="24"/>
        </w:rPr>
        <w:t>谈判响应书中必须填写报价</w:t>
      </w:r>
      <w:bookmarkEnd w:id="14"/>
      <w:r>
        <w:rPr>
          <w:rFonts w:hint="eastAsia" w:ascii="宋体" w:hAnsi="宋体" w:cs="宋体"/>
          <w:b/>
          <w:sz w:val="24"/>
        </w:rPr>
        <w:t xml:space="preserve">表，但并非最后报价。 </w:t>
      </w:r>
    </w:p>
    <w:p>
      <w:pPr>
        <w:snapToGrid w:val="0"/>
        <w:spacing w:line="360" w:lineRule="auto"/>
        <w:ind w:firstLine="480" w:firstLineChars="200"/>
        <w:rPr>
          <w:rFonts w:hint="eastAsia" w:ascii="宋体" w:hAnsi="宋体" w:cs="宋体"/>
          <w:sz w:val="24"/>
        </w:rPr>
      </w:pPr>
      <w:r>
        <w:rPr>
          <w:rFonts w:hint="eastAsia" w:ascii="宋体" w:hAnsi="宋体" w:cs="宋体"/>
          <w:sz w:val="24"/>
        </w:rPr>
        <w:t>25.1.2在谈判过程中，谈判小组可以根据谈判文件和谈判情况实质性变动采购需求中的技术、服务要求以及合同草案条款，实质性变动内容是谈判文件的有效组成部分。实质性变动的内容，经采购人代表确认。</w:t>
      </w:r>
    </w:p>
    <w:p>
      <w:pPr>
        <w:snapToGrid w:val="0"/>
        <w:spacing w:line="360" w:lineRule="auto"/>
        <w:ind w:firstLine="480" w:firstLineChars="200"/>
        <w:rPr>
          <w:rFonts w:hint="eastAsia" w:ascii="宋体" w:hAnsi="宋体" w:cs="宋体"/>
          <w:sz w:val="24"/>
        </w:rPr>
      </w:pPr>
      <w:r>
        <w:rPr>
          <w:rFonts w:hint="eastAsia" w:ascii="宋体" w:hAnsi="宋体" w:cs="宋体"/>
          <w:sz w:val="24"/>
        </w:rPr>
        <w:t>对谈判文件作出的实质性变动是谈判文件的有效组成部分，谈判小组应当及时通知所有参加谈判的供应商。</w:t>
      </w:r>
    </w:p>
    <w:p>
      <w:pPr>
        <w:snapToGrid w:val="0"/>
        <w:spacing w:line="360" w:lineRule="auto"/>
        <w:ind w:firstLine="480" w:firstLineChars="200"/>
        <w:rPr>
          <w:rFonts w:hint="eastAsia" w:ascii="宋体" w:hAnsi="宋体" w:cs="宋体"/>
          <w:sz w:val="24"/>
        </w:rPr>
      </w:pPr>
      <w:r>
        <w:rPr>
          <w:rFonts w:hint="eastAsia" w:ascii="宋体" w:hAnsi="宋体" w:cs="宋体"/>
          <w:sz w:val="24"/>
        </w:rPr>
        <w:t>供应商应当按照谈判文件的变动情况和谈判小组的要求重新提交响应文件，并由供应商加盖单位公章或授权代表签字。</w:t>
      </w:r>
    </w:p>
    <w:p>
      <w:pPr>
        <w:snapToGrid w:val="0"/>
        <w:spacing w:line="360" w:lineRule="auto"/>
        <w:ind w:firstLine="480" w:firstLineChars="200"/>
        <w:rPr>
          <w:rFonts w:hint="eastAsia" w:ascii="宋体" w:hAnsi="宋体" w:cs="宋体"/>
          <w:b/>
          <w:sz w:val="24"/>
        </w:rPr>
      </w:pPr>
      <w:r>
        <w:rPr>
          <w:rFonts w:hint="eastAsia" w:ascii="宋体" w:hAnsi="宋体" w:cs="宋体"/>
          <w:b/>
          <w:sz w:val="24"/>
        </w:rPr>
        <w:t>26.2最后报价</w:t>
      </w:r>
    </w:p>
    <w:p>
      <w:pPr>
        <w:snapToGrid w:val="0"/>
        <w:spacing w:line="360" w:lineRule="auto"/>
        <w:ind w:firstLine="480" w:firstLineChars="200"/>
        <w:rPr>
          <w:rFonts w:hint="eastAsia" w:ascii="宋体" w:hAnsi="宋体" w:cs="宋体"/>
          <w:sz w:val="24"/>
        </w:rPr>
      </w:pPr>
      <w:r>
        <w:rPr>
          <w:rFonts w:hint="eastAsia" w:ascii="宋体" w:hAnsi="宋体" w:cs="宋体"/>
          <w:sz w:val="24"/>
        </w:rPr>
        <w:t>26.2.1谈判结束后，谈判小组要求所有继续参加谈判的供应商在规定的时间内提交最后报价（如谈判过程中没有增加服务、工程数量或服务要求的，则二次报价时不得高于谈判响应书中的报价），最后报价表由代理机构现场发放，投标人现场填报。二次报价或者最后报价时仅报出总价，中标后，其单价部分按最后报价总价下降幅度同比例下降（暂列金不下浮）。</w:t>
      </w:r>
    </w:p>
    <w:p>
      <w:pPr>
        <w:snapToGrid w:val="0"/>
        <w:spacing w:line="360" w:lineRule="auto"/>
        <w:ind w:firstLine="480" w:firstLineChars="200"/>
        <w:rPr>
          <w:rFonts w:hint="eastAsia" w:ascii="宋体" w:hAnsi="宋体" w:cs="宋体"/>
          <w:sz w:val="24"/>
        </w:rPr>
      </w:pPr>
      <w:r>
        <w:rPr>
          <w:rFonts w:hint="eastAsia" w:ascii="宋体" w:hAnsi="宋体" w:cs="宋体"/>
          <w:sz w:val="24"/>
        </w:rPr>
        <w:t>26.2.2响应报价超过项目预算控制数或不按规定格式进行报价的属于无效响应。</w:t>
      </w:r>
    </w:p>
    <w:p>
      <w:pPr>
        <w:snapToGrid w:val="0"/>
        <w:spacing w:line="360" w:lineRule="auto"/>
        <w:ind w:firstLine="480" w:firstLineChars="200"/>
        <w:rPr>
          <w:rFonts w:hint="eastAsia" w:ascii="宋体" w:hAnsi="宋体" w:cs="宋体"/>
          <w:b/>
          <w:sz w:val="24"/>
        </w:rPr>
      </w:pPr>
      <w:r>
        <w:rPr>
          <w:rFonts w:hint="eastAsia" w:ascii="宋体" w:hAnsi="宋体" w:cs="宋体"/>
          <w:b/>
          <w:sz w:val="24"/>
        </w:rPr>
        <w:t>26.3成交候选人</w:t>
      </w:r>
    </w:p>
    <w:p>
      <w:pPr>
        <w:snapToGrid w:val="0"/>
        <w:spacing w:line="360" w:lineRule="auto"/>
        <w:ind w:firstLine="480" w:firstLineChars="200"/>
        <w:rPr>
          <w:rFonts w:hint="eastAsia" w:ascii="宋体" w:hAnsi="宋体" w:cs="宋体"/>
          <w:b/>
          <w:sz w:val="24"/>
        </w:rPr>
      </w:pPr>
      <w:r>
        <w:rPr>
          <w:rFonts w:hint="eastAsia" w:ascii="宋体" w:hAnsi="宋体" w:cs="宋体"/>
          <w:sz w:val="24"/>
        </w:rPr>
        <w:t>谈判小组从质量和服务均能满足谈判文件实质性响应要求的供应商中，按照最后报价由低到高的顺序并经须知前附表中要求的信用信息查询后，提出成交候选人，编写评审报告。</w:t>
      </w:r>
      <w:r>
        <w:rPr>
          <w:rFonts w:hint="eastAsia" w:ascii="宋体" w:hAnsi="宋体" w:cs="宋体"/>
          <w:b/>
          <w:sz w:val="24"/>
        </w:rPr>
        <w:t>如最后报价相同，由采购人现场抽签确定排序。</w:t>
      </w:r>
    </w:p>
    <w:p>
      <w:pPr>
        <w:snapToGrid w:val="0"/>
        <w:spacing w:line="360" w:lineRule="auto"/>
        <w:ind w:firstLine="480" w:firstLineChars="200"/>
        <w:rPr>
          <w:rFonts w:hint="eastAsia" w:ascii="宋体" w:hAnsi="宋体" w:cs="宋体"/>
          <w:sz w:val="24"/>
        </w:rPr>
      </w:pPr>
      <w:r>
        <w:rPr>
          <w:rFonts w:hint="eastAsia" w:ascii="宋体" w:hAnsi="宋体" w:cs="宋体"/>
          <w:b/>
          <w:sz w:val="24"/>
        </w:rPr>
        <w:t xml:space="preserve">26.4 </w:t>
      </w:r>
      <w:r>
        <w:rPr>
          <w:rFonts w:hint="eastAsia" w:ascii="宋体" w:hAnsi="宋体" w:cs="宋体"/>
          <w:sz w:val="24"/>
        </w:rPr>
        <w:t>采购人收到评审报告后最迟在3个工作日确定成交结果，也可以授权评标委员会依据现行法规直接确定成交供应商。</w:t>
      </w:r>
    </w:p>
    <w:p>
      <w:pPr>
        <w:snapToGrid w:val="0"/>
        <w:spacing w:line="360" w:lineRule="auto"/>
        <w:ind w:firstLine="480" w:firstLineChars="200"/>
        <w:rPr>
          <w:rFonts w:hint="eastAsia" w:ascii="宋体" w:hAnsi="宋体" w:cs="宋体"/>
          <w:b/>
          <w:sz w:val="24"/>
        </w:rPr>
      </w:pPr>
      <w:r>
        <w:rPr>
          <w:rFonts w:hint="eastAsia" w:ascii="宋体" w:hAnsi="宋体" w:cs="宋体"/>
          <w:b/>
          <w:sz w:val="24"/>
        </w:rPr>
        <w:t>27．异常情况处理</w:t>
      </w:r>
    </w:p>
    <w:p>
      <w:pPr>
        <w:snapToGrid w:val="0"/>
        <w:spacing w:line="360" w:lineRule="auto"/>
        <w:ind w:firstLine="480" w:firstLineChars="200"/>
        <w:rPr>
          <w:rFonts w:hint="eastAsia" w:ascii="宋体" w:hAnsi="宋体" w:cs="宋体"/>
          <w:sz w:val="24"/>
        </w:rPr>
      </w:pPr>
      <w:r>
        <w:rPr>
          <w:rFonts w:hint="eastAsia" w:ascii="宋体" w:hAnsi="宋体" w:cs="宋体"/>
          <w:sz w:val="24"/>
        </w:rPr>
        <w:t>谈判时出现以下情况之一的，将重新组织谈判：</w:t>
      </w:r>
    </w:p>
    <w:p>
      <w:pPr>
        <w:snapToGrid w:val="0"/>
        <w:spacing w:line="360" w:lineRule="auto"/>
        <w:ind w:firstLine="480" w:firstLineChars="200"/>
        <w:rPr>
          <w:rFonts w:hint="eastAsia" w:ascii="宋体" w:hAnsi="宋体" w:cs="宋体"/>
          <w:sz w:val="24"/>
        </w:rPr>
      </w:pPr>
      <w:r>
        <w:rPr>
          <w:rFonts w:hint="eastAsia" w:ascii="宋体" w:hAnsi="宋体" w:cs="宋体"/>
          <w:sz w:val="24"/>
        </w:rPr>
        <w:t>27.1经过谈判，供应商所提供的服务仍无法满足谈判文件实质性要求、影响工作的；</w:t>
      </w:r>
    </w:p>
    <w:p>
      <w:pPr>
        <w:snapToGrid w:val="0"/>
        <w:spacing w:line="360" w:lineRule="auto"/>
        <w:ind w:firstLine="480" w:firstLineChars="200"/>
        <w:rPr>
          <w:rFonts w:hint="eastAsia" w:ascii="宋体" w:hAnsi="宋体" w:cs="宋体"/>
          <w:sz w:val="24"/>
        </w:rPr>
      </w:pPr>
      <w:r>
        <w:rPr>
          <w:rFonts w:hint="eastAsia" w:ascii="宋体" w:hAnsi="宋体" w:cs="宋体"/>
          <w:sz w:val="24"/>
        </w:rPr>
        <w:t>27.2提交最后报价的供应商不足三家的。</w:t>
      </w:r>
    </w:p>
    <w:p>
      <w:pPr>
        <w:snapToGrid w:val="0"/>
        <w:spacing w:line="360" w:lineRule="auto"/>
        <w:ind w:firstLine="480" w:firstLineChars="200"/>
        <w:rPr>
          <w:rFonts w:hint="eastAsia" w:ascii="宋体" w:hAnsi="宋体" w:cs="宋体"/>
          <w:sz w:val="24"/>
        </w:rPr>
      </w:pPr>
      <w:r>
        <w:rPr>
          <w:rFonts w:hint="eastAsia" w:ascii="宋体" w:hAnsi="宋体" w:cs="宋体"/>
          <w:sz w:val="24"/>
        </w:rPr>
        <w:t>27.3出现影响采购公正的违法、违规行为的。</w:t>
      </w:r>
    </w:p>
    <w:p>
      <w:pPr>
        <w:snapToGrid w:val="0"/>
        <w:spacing w:line="360" w:lineRule="auto"/>
        <w:ind w:firstLine="480" w:firstLineChars="200"/>
        <w:rPr>
          <w:rFonts w:hint="eastAsia" w:ascii="宋体" w:hAnsi="宋体" w:cs="宋体"/>
          <w:b/>
          <w:bCs/>
          <w:kern w:val="0"/>
          <w:sz w:val="24"/>
        </w:rPr>
      </w:pPr>
      <w:r>
        <w:rPr>
          <w:rFonts w:hint="eastAsia" w:ascii="宋体" w:hAnsi="宋体" w:cs="宋体"/>
          <w:b/>
          <w:bCs/>
          <w:sz w:val="24"/>
        </w:rPr>
        <w:t>28.</w:t>
      </w:r>
      <w:r>
        <w:rPr>
          <w:rFonts w:hint="eastAsia" w:ascii="宋体" w:hAnsi="宋体" w:cs="宋体"/>
          <w:b/>
          <w:bCs/>
          <w:kern w:val="0"/>
          <w:sz w:val="24"/>
        </w:rPr>
        <w:t>中标（成交）通知书</w:t>
      </w:r>
    </w:p>
    <w:p>
      <w:pPr>
        <w:pStyle w:val="29"/>
        <w:wordWrap w:val="0"/>
        <w:adjustRightInd/>
        <w:snapToGrid w:val="0"/>
        <w:spacing w:line="360" w:lineRule="auto"/>
        <w:ind w:firstLine="480" w:firstLineChars="200"/>
        <w:jc w:val="both"/>
        <w:rPr>
          <w:rFonts w:hint="eastAsia"/>
        </w:rPr>
      </w:pPr>
      <w:r>
        <w:rPr>
          <w:rFonts w:hint="eastAsia"/>
        </w:rPr>
        <w:t>中标人确定后,由采购人向中标人发出中标（成交）通知书。中标（成交）通知书对采购人和中标人具有同等法律效力</w:t>
      </w:r>
    </w:p>
    <w:p>
      <w:pPr>
        <w:pStyle w:val="10"/>
        <w:snapToGrid w:val="0"/>
        <w:spacing w:line="360" w:lineRule="auto"/>
        <w:jc w:val="center"/>
        <w:rPr>
          <w:rFonts w:hint="eastAsia" w:ascii="宋体" w:hAnsi="宋体" w:cs="宋体"/>
          <w:sz w:val="24"/>
          <w:szCs w:val="24"/>
        </w:rPr>
      </w:pPr>
      <w:r>
        <w:rPr>
          <w:rFonts w:hint="eastAsia" w:ascii="宋体" w:hAnsi="宋体" w:cs="宋体"/>
          <w:sz w:val="24"/>
          <w:szCs w:val="24"/>
        </w:rPr>
        <w:t>（八）废标</w:t>
      </w:r>
    </w:p>
    <w:p>
      <w:pPr>
        <w:snapToGrid w:val="0"/>
        <w:spacing w:line="360" w:lineRule="auto"/>
        <w:ind w:firstLine="480" w:firstLineChars="200"/>
        <w:rPr>
          <w:rFonts w:hint="eastAsia" w:ascii="宋体" w:hAnsi="宋体" w:cs="宋体"/>
          <w:sz w:val="24"/>
        </w:rPr>
      </w:pPr>
      <w:r>
        <w:rPr>
          <w:rFonts w:hint="eastAsia" w:ascii="宋体" w:hAnsi="宋体" w:cs="宋体"/>
          <w:sz w:val="24"/>
        </w:rPr>
        <w:t>29、在</w:t>
      </w:r>
      <w:r>
        <w:rPr>
          <w:rFonts w:hint="eastAsia" w:ascii="宋体" w:hAnsi="宋体" w:cs="宋体"/>
          <w:sz w:val="24"/>
          <w:lang w:eastAsia="zh-CN"/>
        </w:rPr>
        <w:t>谈判</w:t>
      </w:r>
      <w:r>
        <w:rPr>
          <w:rFonts w:hint="eastAsia" w:ascii="宋体" w:hAnsi="宋体" w:cs="宋体"/>
          <w:sz w:val="24"/>
        </w:rPr>
        <w:t>采购中，出现下列情形之一的，本项目废标：</w:t>
      </w:r>
    </w:p>
    <w:p>
      <w:pPr>
        <w:snapToGrid w:val="0"/>
        <w:spacing w:line="360" w:lineRule="auto"/>
        <w:ind w:firstLine="480" w:firstLineChars="200"/>
        <w:rPr>
          <w:rFonts w:hint="eastAsia" w:ascii="宋体" w:hAnsi="宋体" w:cs="宋体"/>
          <w:sz w:val="24"/>
        </w:rPr>
      </w:pPr>
      <w:r>
        <w:rPr>
          <w:rFonts w:hint="eastAsia" w:ascii="宋体" w:hAnsi="宋体" w:cs="宋体"/>
          <w:sz w:val="24"/>
        </w:rPr>
        <w:t>29.1合格供应商不足规定家数的；</w:t>
      </w:r>
    </w:p>
    <w:p>
      <w:pPr>
        <w:snapToGrid w:val="0"/>
        <w:spacing w:line="360" w:lineRule="auto"/>
        <w:ind w:firstLine="480" w:firstLineChars="200"/>
        <w:rPr>
          <w:rFonts w:hint="eastAsia" w:ascii="宋体" w:hAnsi="宋体" w:cs="宋体"/>
          <w:sz w:val="24"/>
        </w:rPr>
      </w:pPr>
      <w:r>
        <w:rPr>
          <w:rFonts w:hint="eastAsia" w:ascii="宋体" w:hAnsi="宋体" w:cs="宋体"/>
          <w:sz w:val="24"/>
        </w:rPr>
        <w:t xml:space="preserve">29.2出现影响采购公正的违法、违规行为的； </w:t>
      </w:r>
    </w:p>
    <w:p>
      <w:pPr>
        <w:snapToGrid w:val="0"/>
        <w:spacing w:line="360" w:lineRule="auto"/>
        <w:ind w:firstLine="480" w:firstLineChars="200"/>
        <w:rPr>
          <w:rFonts w:hint="eastAsia" w:ascii="宋体" w:hAnsi="宋体" w:cs="宋体"/>
          <w:sz w:val="24"/>
        </w:rPr>
      </w:pPr>
      <w:r>
        <w:rPr>
          <w:rFonts w:hint="eastAsia" w:ascii="宋体" w:hAnsi="宋体" w:cs="宋体"/>
          <w:sz w:val="24"/>
        </w:rPr>
        <w:t>29.3采购需求出现重大问题，导致评标委员会认为无法继续评审的；</w:t>
      </w:r>
    </w:p>
    <w:p>
      <w:pPr>
        <w:snapToGrid w:val="0"/>
        <w:spacing w:line="360" w:lineRule="auto"/>
        <w:ind w:firstLine="480" w:firstLineChars="200"/>
        <w:rPr>
          <w:rFonts w:hint="eastAsia" w:ascii="宋体" w:hAnsi="宋体" w:cs="宋体"/>
          <w:sz w:val="24"/>
        </w:rPr>
      </w:pPr>
      <w:r>
        <w:rPr>
          <w:rFonts w:hint="eastAsia" w:ascii="宋体" w:hAnsi="宋体" w:cs="宋体"/>
          <w:sz w:val="24"/>
        </w:rPr>
        <w:t>29.4因重大变故，采购任务取消的。</w:t>
      </w:r>
    </w:p>
    <w:p>
      <w:pPr>
        <w:snapToGrid w:val="0"/>
        <w:spacing w:line="360" w:lineRule="auto"/>
        <w:ind w:firstLine="480" w:firstLineChars="200"/>
        <w:rPr>
          <w:rFonts w:hint="eastAsia" w:ascii="宋体" w:hAnsi="宋体" w:cs="宋体"/>
          <w:sz w:val="24"/>
        </w:rPr>
      </w:pPr>
      <w:r>
        <w:rPr>
          <w:rFonts w:hint="eastAsia" w:ascii="宋体" w:hAnsi="宋体" w:cs="宋体"/>
          <w:sz w:val="24"/>
        </w:rPr>
        <w:t>29.5法律法规规定的其他应该废标的情形。</w:t>
      </w:r>
    </w:p>
    <w:p>
      <w:pPr>
        <w:pStyle w:val="10"/>
        <w:snapToGrid w:val="0"/>
        <w:spacing w:line="360" w:lineRule="auto"/>
        <w:jc w:val="center"/>
        <w:rPr>
          <w:rFonts w:hint="eastAsia" w:ascii="宋体" w:hAnsi="宋体" w:cs="宋体"/>
          <w:sz w:val="24"/>
          <w:szCs w:val="24"/>
        </w:rPr>
      </w:pPr>
      <w:r>
        <w:rPr>
          <w:rFonts w:hint="eastAsia" w:ascii="宋体" w:hAnsi="宋体" w:cs="宋体"/>
          <w:sz w:val="24"/>
          <w:szCs w:val="24"/>
        </w:rPr>
        <w:t>（九）评标办法</w:t>
      </w:r>
    </w:p>
    <w:p>
      <w:pPr>
        <w:snapToGrid w:val="0"/>
        <w:spacing w:line="360" w:lineRule="auto"/>
        <w:ind w:firstLine="480" w:firstLineChars="200"/>
        <w:rPr>
          <w:rFonts w:hint="eastAsia" w:ascii="宋体" w:hAnsi="宋体" w:cs="宋体"/>
          <w:sz w:val="24"/>
        </w:rPr>
      </w:pPr>
      <w:r>
        <w:rPr>
          <w:rFonts w:hint="eastAsia" w:ascii="宋体" w:hAnsi="宋体" w:cs="宋体"/>
          <w:sz w:val="24"/>
        </w:rPr>
        <w:t>本着坚持“公开、公平、公正”的原则，为维护招投标双方的合法权益，增加评标工作透明度，保证评标、定标的科学性、公正性和可操作性，根据《中华人民共和国政府采购法》、《中华人民共和国政府采购法实施条例》、《政府采购非</w:t>
      </w:r>
      <w:r>
        <w:rPr>
          <w:rFonts w:hint="eastAsia" w:ascii="宋体" w:hAnsi="宋体" w:cs="宋体"/>
          <w:sz w:val="24"/>
          <w:lang w:eastAsia="zh-CN"/>
        </w:rPr>
        <w:t>谈判</w:t>
      </w:r>
      <w:r>
        <w:rPr>
          <w:rFonts w:hint="eastAsia" w:ascii="宋体" w:hAnsi="宋体" w:cs="宋体"/>
          <w:sz w:val="24"/>
        </w:rPr>
        <w:t>采购方式管理办法》等法律法规的精神，并结合本项目实际制定本办法。</w:t>
      </w:r>
    </w:p>
    <w:p>
      <w:pPr>
        <w:snapToGrid w:val="0"/>
        <w:spacing w:line="360" w:lineRule="auto"/>
        <w:ind w:firstLine="480" w:firstLineChars="200"/>
        <w:rPr>
          <w:rFonts w:hint="eastAsia" w:ascii="宋体" w:hAnsi="宋体" w:cs="宋体"/>
          <w:sz w:val="24"/>
        </w:rPr>
      </w:pPr>
      <w:r>
        <w:rPr>
          <w:rFonts w:hint="eastAsia" w:ascii="宋体" w:hAnsi="宋体" w:cs="宋体"/>
          <w:b/>
          <w:bCs/>
          <w:sz w:val="24"/>
        </w:rPr>
        <w:t>最低评标价法</w:t>
      </w:r>
      <w:r>
        <w:rPr>
          <w:rFonts w:hint="eastAsia" w:ascii="宋体" w:hAnsi="宋体" w:cs="宋体"/>
          <w:sz w:val="24"/>
        </w:rPr>
        <w:t>，以价格为主要因素确定中标候选供应商的评标方法。报价相同时，由采购人现场抽签确定排序。</w:t>
      </w:r>
    </w:p>
    <w:p>
      <w:pPr>
        <w:adjustRightInd w:val="0"/>
        <w:snapToGrid w:val="0"/>
        <w:spacing w:line="360" w:lineRule="auto"/>
        <w:ind w:right="-10" w:firstLine="480"/>
        <w:rPr>
          <w:rFonts w:hint="eastAsia" w:ascii="宋体" w:hAnsi="宋体" w:cs="宋体"/>
          <w:b/>
          <w:sz w:val="24"/>
        </w:rPr>
      </w:pPr>
      <w:r>
        <w:rPr>
          <w:rFonts w:hint="eastAsia" w:ascii="宋体" w:hAnsi="宋体" w:cs="宋体"/>
          <w:b/>
          <w:sz w:val="24"/>
        </w:rPr>
        <w:t>30、评标程序</w:t>
      </w:r>
    </w:p>
    <w:p>
      <w:pPr>
        <w:snapToGrid w:val="0"/>
        <w:spacing w:line="360" w:lineRule="auto"/>
        <w:ind w:firstLine="480" w:firstLineChars="200"/>
        <w:rPr>
          <w:rFonts w:hint="eastAsia" w:ascii="宋体" w:hAnsi="宋体" w:cs="宋体"/>
          <w:sz w:val="24"/>
        </w:rPr>
      </w:pPr>
      <w:r>
        <w:rPr>
          <w:rFonts w:hint="eastAsia" w:ascii="宋体" w:hAnsi="宋体" w:cs="宋体"/>
          <w:sz w:val="24"/>
        </w:rPr>
        <w:t>评委会应认真研究谈判文件及采购需求，应了解和熟悉</w:t>
      </w:r>
      <w:r>
        <w:rPr>
          <w:rFonts w:hint="eastAsia" w:ascii="宋体" w:hAnsi="宋体" w:cs="宋体"/>
          <w:sz w:val="24"/>
          <w:lang w:eastAsia="zh-CN"/>
        </w:rPr>
        <w:t>谈判</w:t>
      </w:r>
      <w:r>
        <w:rPr>
          <w:rFonts w:hint="eastAsia" w:ascii="宋体" w:hAnsi="宋体" w:cs="宋体"/>
          <w:sz w:val="24"/>
        </w:rPr>
        <w:t>项目的范围、性质、特征主要技术服务要求及标准、评审标准等相关内容：</w:t>
      </w:r>
    </w:p>
    <w:p>
      <w:pPr>
        <w:snapToGrid w:val="0"/>
        <w:spacing w:line="360" w:lineRule="auto"/>
        <w:ind w:firstLine="480" w:firstLineChars="200"/>
        <w:rPr>
          <w:rFonts w:hint="eastAsia" w:ascii="宋体" w:hAnsi="宋体" w:cs="宋体"/>
          <w:sz w:val="24"/>
        </w:rPr>
      </w:pPr>
      <w:r>
        <w:rPr>
          <w:rFonts w:hint="eastAsia" w:ascii="宋体" w:hAnsi="宋体" w:cs="宋体"/>
          <w:sz w:val="24"/>
        </w:rPr>
        <w:t>30.1评标委员会首先根据已发布的谈判文件核对谈判文件评审项，与谈判文件内容不符的，按谈判文件内容对谈判文件评审项进行修改。</w:t>
      </w:r>
    </w:p>
    <w:p>
      <w:pPr>
        <w:snapToGrid w:val="0"/>
        <w:spacing w:line="360" w:lineRule="auto"/>
        <w:ind w:firstLine="480" w:firstLineChars="200"/>
        <w:rPr>
          <w:rFonts w:hint="eastAsia" w:ascii="宋体" w:hAnsi="宋体" w:cs="宋体"/>
          <w:sz w:val="24"/>
        </w:rPr>
      </w:pPr>
      <w:r>
        <w:rPr>
          <w:rFonts w:hint="eastAsia" w:ascii="宋体" w:hAnsi="宋体" w:cs="宋体"/>
          <w:sz w:val="24"/>
        </w:rPr>
        <w:t>30.2 评标委员会成员对响应文件有效性进行评审。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30.3 先进行有效性评审，评标委员会根据响应文件，推荐有排序的预中标候选人，并形成评标报告。</w:t>
      </w:r>
    </w:p>
    <w:p>
      <w:pPr>
        <w:snapToGrid w:val="0"/>
        <w:spacing w:line="360" w:lineRule="auto"/>
        <w:ind w:firstLine="480" w:firstLineChars="200"/>
        <w:rPr>
          <w:rFonts w:hint="eastAsia" w:ascii="宋体" w:hAnsi="宋体" w:cs="宋体"/>
          <w:sz w:val="24"/>
        </w:rPr>
      </w:pPr>
      <w:r>
        <w:rPr>
          <w:rFonts w:hint="eastAsia" w:ascii="宋体" w:hAnsi="宋体" w:cs="宋体"/>
          <w:sz w:val="24"/>
        </w:rPr>
        <w:t>30.3.1评委会发现供应商的谈判响应文件中对同类问题表述不一致、前后矛盾、有明显文字和计算错误的内容、有可能不符合谈判文件规定等情况需要澄清时，评委会将以询标的方式告知并要求供应商现场进行必要的澄清、说明或补正。对否定的竞争性谈判响应文件，评委要提出充足的否定理由，并填写在评标记录上。对评审结果持有不同意见的，按照少数服从多数的原则由评委采取投票方式表决确定。评标委员会成员应当在评审报告上签字，对自己的评审意见承担法律责任。对评审报告有异议的，应当在评审报告上签署不同意见，并说明理由，否则视为同意评审报告。</w:t>
      </w:r>
    </w:p>
    <w:p>
      <w:pPr>
        <w:snapToGrid w:val="0"/>
        <w:spacing w:line="360" w:lineRule="auto"/>
        <w:ind w:firstLine="480" w:firstLineChars="200"/>
        <w:rPr>
          <w:rFonts w:hint="eastAsia" w:ascii="宋体" w:hAnsi="宋体" w:cs="宋体"/>
          <w:sz w:val="24"/>
        </w:rPr>
      </w:pPr>
      <w:r>
        <w:rPr>
          <w:rFonts w:hint="eastAsia" w:ascii="宋体" w:hAnsi="宋体" w:cs="宋体"/>
          <w:sz w:val="24"/>
        </w:rPr>
        <w:t>询标函格式如下：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008" w:type="dxa"/>
            <w:noWrap w:val="0"/>
            <w:vAlign w:val="center"/>
          </w:tcPr>
          <w:p>
            <w:pPr>
              <w:pStyle w:val="29"/>
              <w:snapToGrid w:val="0"/>
              <w:spacing w:line="360" w:lineRule="auto"/>
              <w:jc w:val="center"/>
              <w:rPr>
                <w:rFonts w:hint="eastAsia"/>
              </w:rPr>
            </w:pPr>
            <w:r>
              <w:rPr>
                <w:rFonts w:hint="eastAsia"/>
              </w:rPr>
              <w:t>项目名称</w:t>
            </w:r>
          </w:p>
        </w:tc>
        <w:tc>
          <w:tcPr>
            <w:tcW w:w="5520" w:type="dxa"/>
            <w:noWrap w:val="0"/>
            <w:vAlign w:val="center"/>
          </w:tcPr>
          <w:p>
            <w:pPr>
              <w:pStyle w:val="29"/>
              <w:wordWrap w:val="0"/>
              <w:snapToGrid w:val="0"/>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3008" w:type="dxa"/>
            <w:noWrap w:val="0"/>
            <w:vAlign w:val="center"/>
          </w:tcPr>
          <w:p>
            <w:pPr>
              <w:pStyle w:val="29"/>
              <w:wordWrap w:val="0"/>
              <w:snapToGrid w:val="0"/>
              <w:spacing w:line="360" w:lineRule="auto"/>
              <w:jc w:val="center"/>
              <w:rPr>
                <w:rFonts w:hint="eastAsia"/>
              </w:rPr>
            </w:pPr>
            <w:r>
              <w:rPr>
                <w:rFonts w:hint="eastAsia"/>
              </w:rPr>
              <w:t>项目（标段）编号</w:t>
            </w:r>
          </w:p>
        </w:tc>
        <w:tc>
          <w:tcPr>
            <w:tcW w:w="5520" w:type="dxa"/>
            <w:noWrap w:val="0"/>
            <w:vAlign w:val="center"/>
          </w:tcPr>
          <w:p>
            <w:pPr>
              <w:pStyle w:val="29"/>
              <w:wordWrap w:val="0"/>
              <w:snapToGrid w:val="0"/>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008" w:type="dxa"/>
            <w:noWrap w:val="0"/>
            <w:vAlign w:val="center"/>
          </w:tcPr>
          <w:p>
            <w:pPr>
              <w:pStyle w:val="29"/>
              <w:wordWrap w:val="0"/>
              <w:snapToGrid w:val="0"/>
              <w:spacing w:line="360" w:lineRule="auto"/>
              <w:jc w:val="center"/>
              <w:rPr>
                <w:rFonts w:hint="eastAsia"/>
              </w:rPr>
            </w:pPr>
            <w:r>
              <w:rPr>
                <w:rFonts w:hint="eastAsia"/>
              </w:rPr>
              <w:t>评标委员会询标内容</w:t>
            </w:r>
          </w:p>
        </w:tc>
        <w:tc>
          <w:tcPr>
            <w:tcW w:w="5520" w:type="dxa"/>
            <w:noWrap w:val="0"/>
            <w:vAlign w:val="center"/>
          </w:tcPr>
          <w:p>
            <w:pPr>
              <w:pStyle w:val="29"/>
              <w:wordWrap w:val="0"/>
              <w:snapToGrid w:val="0"/>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3008" w:type="dxa"/>
            <w:noWrap w:val="0"/>
            <w:vAlign w:val="center"/>
          </w:tcPr>
          <w:p>
            <w:pPr>
              <w:pStyle w:val="29"/>
              <w:wordWrap w:val="0"/>
              <w:snapToGrid w:val="0"/>
              <w:spacing w:line="360" w:lineRule="auto"/>
              <w:jc w:val="center"/>
              <w:rPr>
                <w:rFonts w:hint="eastAsia"/>
              </w:rPr>
            </w:pPr>
            <w:r>
              <w:rPr>
                <w:rFonts w:hint="eastAsia"/>
              </w:rPr>
              <w:t>投标供应商澄清说明</w:t>
            </w:r>
          </w:p>
        </w:tc>
        <w:tc>
          <w:tcPr>
            <w:tcW w:w="5520" w:type="dxa"/>
            <w:noWrap w:val="0"/>
            <w:vAlign w:val="center"/>
          </w:tcPr>
          <w:p>
            <w:pPr>
              <w:widowControl/>
              <w:snapToGrid w:val="0"/>
              <w:spacing w:line="360" w:lineRule="auto"/>
              <w:jc w:val="left"/>
              <w:rPr>
                <w:rFonts w:hint="eastAsia" w:ascii="宋体" w:hAnsi="宋体" w:cs="宋体"/>
                <w:kern w:val="0"/>
                <w:sz w:val="24"/>
                <w:lang w:bidi="ar"/>
              </w:rPr>
            </w:pPr>
          </w:p>
          <w:p>
            <w:pPr>
              <w:widowControl/>
              <w:snapToGrid w:val="0"/>
              <w:spacing w:line="360" w:lineRule="auto"/>
              <w:jc w:val="left"/>
              <w:rPr>
                <w:rFonts w:hint="eastAsia" w:ascii="宋体" w:hAnsi="宋体" w:cs="宋体"/>
                <w:sz w:val="24"/>
              </w:rPr>
            </w:pPr>
            <w:r>
              <w:rPr>
                <w:rFonts w:hint="eastAsia" w:ascii="宋体" w:hAnsi="宋体" w:cs="宋体"/>
                <w:kern w:val="0"/>
                <w:sz w:val="24"/>
                <w:lang w:bidi="ar"/>
              </w:rPr>
              <w:t xml:space="preserve">投标人签字： </w:t>
            </w:r>
          </w:p>
          <w:p>
            <w:pPr>
              <w:pStyle w:val="29"/>
              <w:wordWrap w:val="0"/>
              <w:snapToGrid w:val="0"/>
              <w:spacing w:line="360" w:lineRule="auto"/>
              <w:rPr>
                <w:rFonts w:hint="eastAsia"/>
              </w:rPr>
            </w:pPr>
            <w:r>
              <w:rPr>
                <w:rFonts w:hint="eastAsia"/>
              </w:rPr>
              <w:t xml:space="preserve">                        </w:t>
            </w:r>
            <w:r>
              <w:rPr>
                <w:rFonts w:hint="eastAsia"/>
                <w:lang w:bidi="ar"/>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008" w:type="dxa"/>
            <w:noWrap w:val="0"/>
            <w:vAlign w:val="center"/>
          </w:tcPr>
          <w:p>
            <w:pPr>
              <w:pStyle w:val="29"/>
              <w:wordWrap w:val="0"/>
              <w:snapToGrid w:val="0"/>
              <w:spacing w:line="360" w:lineRule="auto"/>
              <w:jc w:val="center"/>
              <w:rPr>
                <w:rFonts w:hint="eastAsia"/>
              </w:rPr>
            </w:pPr>
            <w:r>
              <w:rPr>
                <w:rFonts w:hint="eastAsia"/>
              </w:rPr>
              <w:t>审查结论</w:t>
            </w:r>
          </w:p>
        </w:tc>
        <w:tc>
          <w:tcPr>
            <w:tcW w:w="5520" w:type="dxa"/>
            <w:noWrap w:val="0"/>
            <w:vAlign w:val="center"/>
          </w:tcPr>
          <w:p>
            <w:pPr>
              <w:widowControl/>
              <w:snapToGrid w:val="0"/>
              <w:spacing w:line="360" w:lineRule="auto"/>
              <w:jc w:val="left"/>
              <w:rPr>
                <w:rFonts w:hint="eastAsia" w:ascii="宋体" w:hAnsi="宋体" w:cs="宋体"/>
                <w:sz w:val="24"/>
              </w:rPr>
            </w:pPr>
            <w:r>
              <w:rPr>
                <w:rFonts w:hint="eastAsia" w:ascii="宋体" w:hAnsi="宋体" w:cs="宋体"/>
                <w:kern w:val="0"/>
                <w:sz w:val="24"/>
                <w:lang w:bidi="ar"/>
              </w:rPr>
              <w:sym w:font="Wingdings 2" w:char="00A3"/>
            </w:r>
            <w:r>
              <w:rPr>
                <w:rFonts w:hint="eastAsia" w:ascii="宋体" w:hAnsi="宋体" w:cs="宋体"/>
                <w:kern w:val="0"/>
                <w:sz w:val="24"/>
                <w:lang w:bidi="ar"/>
              </w:rPr>
              <w:t xml:space="preserve">通过。 </w:t>
            </w:r>
          </w:p>
          <w:p>
            <w:pPr>
              <w:widowControl/>
              <w:snapToGrid w:val="0"/>
              <w:spacing w:line="360" w:lineRule="auto"/>
              <w:jc w:val="left"/>
              <w:rPr>
                <w:rFonts w:hint="eastAsia" w:ascii="宋体" w:hAnsi="宋体" w:cs="宋体"/>
                <w:sz w:val="24"/>
              </w:rPr>
            </w:pPr>
            <w:r>
              <w:rPr>
                <w:rFonts w:hint="eastAsia" w:ascii="宋体" w:hAnsi="宋体" w:cs="宋体"/>
                <w:kern w:val="0"/>
                <w:sz w:val="24"/>
                <w:lang w:bidi="ar"/>
              </w:rPr>
              <w:t>□不通过。</w:t>
            </w:r>
          </w:p>
          <w:p>
            <w:pPr>
              <w:pStyle w:val="29"/>
              <w:wordWrap w:val="0"/>
              <w:snapToGrid w:val="0"/>
              <w:spacing w:line="360" w:lineRule="auto"/>
              <w:jc w:val="both"/>
              <w:rPr>
                <w:rFonts w:hint="eastAsia"/>
                <w:lang w:bidi="ar"/>
              </w:rPr>
            </w:pPr>
            <w:r>
              <w:rPr>
                <w:rFonts w:hint="eastAsia"/>
                <w:lang w:bidi="ar"/>
              </w:rPr>
              <w:t>原因：</w:t>
            </w:r>
          </w:p>
        </w:tc>
      </w:tr>
    </w:tbl>
    <w:p>
      <w:pPr>
        <w:snapToGrid w:val="0"/>
        <w:spacing w:line="360" w:lineRule="auto"/>
        <w:ind w:firstLine="480" w:firstLineChars="200"/>
        <w:rPr>
          <w:rFonts w:hint="eastAsia" w:ascii="宋体" w:hAnsi="宋体" w:cs="宋体"/>
          <w:sz w:val="24"/>
        </w:rPr>
      </w:pPr>
      <w:r>
        <w:rPr>
          <w:rFonts w:hint="eastAsia" w:ascii="宋体" w:hAnsi="宋体" w:cs="宋体"/>
          <w:sz w:val="24"/>
        </w:rPr>
        <w:t>30.3.2评审报告是评标委员会根据全体评标成员签字的原始评标记录和评标结果编写的报告，评标委员会全体成员、监督人员、公证人员均须在评审报告上签字。评审报告应如实记录本次评标的主要过程，全面反映评标过程中的各种不同的意见，以及其他澄清、说明、补正事项。</w:t>
      </w:r>
    </w:p>
    <w:p>
      <w:pPr>
        <w:snapToGrid w:val="0"/>
        <w:spacing w:line="360" w:lineRule="auto"/>
        <w:ind w:firstLine="480" w:firstLineChars="200"/>
        <w:rPr>
          <w:rFonts w:hint="eastAsia" w:ascii="宋体" w:hAnsi="宋体" w:cs="宋体"/>
          <w:sz w:val="24"/>
        </w:rPr>
      </w:pPr>
      <w:r>
        <w:rPr>
          <w:rFonts w:hint="eastAsia" w:ascii="宋体" w:hAnsi="宋体" w:cs="宋体"/>
          <w:sz w:val="24"/>
        </w:rPr>
        <w:t>30.3.3评标委员会在评标过程中发现的问题，应当区别情形及时作出处理。</w:t>
      </w:r>
    </w:p>
    <w:p>
      <w:pPr>
        <w:snapToGrid w:val="0"/>
        <w:spacing w:line="360" w:lineRule="auto"/>
        <w:ind w:firstLine="480" w:firstLineChars="200"/>
        <w:rPr>
          <w:rFonts w:hint="eastAsia" w:ascii="宋体" w:hAnsi="宋体" w:cs="宋体"/>
          <w:sz w:val="24"/>
        </w:rPr>
      </w:pPr>
      <w:r>
        <w:rPr>
          <w:rFonts w:hint="eastAsia" w:ascii="宋体" w:hAnsi="宋体" w:cs="宋体"/>
          <w:sz w:val="24"/>
        </w:rPr>
        <w:t>30.3.4评标委员会认为供应商的报价明显低于其他通过符合性审查供应商的报价，有可能影响产品质量或者不能诚信履约的，应当要求其在合理的时间（30分钟）内提供说明，必要时提交相关证明材料；供应商不能证明其报价合理性的，评标委员会应当将其作为无效投标处理。</w:t>
      </w:r>
    </w:p>
    <w:p>
      <w:pPr>
        <w:pStyle w:val="29"/>
        <w:wordWrap w:val="0"/>
        <w:adjustRightInd/>
        <w:snapToGrid w:val="0"/>
        <w:spacing w:line="360" w:lineRule="auto"/>
        <w:ind w:firstLine="480" w:firstLineChars="200"/>
        <w:jc w:val="both"/>
        <w:rPr>
          <w:rFonts w:hint="eastAsia"/>
          <w:b/>
        </w:rPr>
      </w:pPr>
      <w:r>
        <w:rPr>
          <w:rFonts w:hint="eastAsia"/>
          <w:b/>
        </w:rPr>
        <w:t>30.3.5、如谈判文件中要求提供原件进行审查的，各供应商应按谈判文件要求将相关原件材料等带到开标现场在开标截止时间前一并递交，迟交将不接收。相关原件的复印件或影印件应当加盖公章装订入谈判响应文件，由评标专家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30.3.6评标委员会评审谈判响应文件依据为谈判响应文件以及按谈判文件要求递交的其它资料。</w:t>
      </w:r>
    </w:p>
    <w:p>
      <w:pPr>
        <w:snapToGrid w:val="0"/>
        <w:spacing w:line="360" w:lineRule="auto"/>
        <w:ind w:firstLine="480" w:firstLineChars="200"/>
        <w:rPr>
          <w:rFonts w:hint="eastAsia" w:ascii="宋体" w:hAnsi="宋体" w:cs="宋体"/>
          <w:sz w:val="24"/>
        </w:rPr>
      </w:pPr>
      <w:r>
        <w:rPr>
          <w:rFonts w:hint="eastAsia" w:ascii="宋体" w:hAnsi="宋体" w:cs="宋体"/>
          <w:sz w:val="24"/>
        </w:rPr>
        <w:t>30.3.7评标委员会和评标工作人员应严格遵守国家的法律、法规和规章制度；严格按照本次谈判文件进行评标；公正廉洁、不徇私情，不得损害国家利益；保护采购人、供应商的合法权益。</w:t>
      </w:r>
    </w:p>
    <w:p>
      <w:pPr>
        <w:snapToGrid w:val="0"/>
        <w:spacing w:line="360" w:lineRule="auto"/>
        <w:ind w:firstLine="480" w:firstLineChars="200"/>
        <w:rPr>
          <w:rFonts w:hint="eastAsia" w:ascii="宋体" w:hAnsi="宋体" w:cs="宋体"/>
          <w:sz w:val="24"/>
        </w:rPr>
      </w:pPr>
      <w:r>
        <w:rPr>
          <w:rFonts w:hint="eastAsia" w:ascii="宋体" w:hAnsi="宋体" w:cs="宋体"/>
          <w:sz w:val="24"/>
        </w:rPr>
        <w:t>30.4评标委员会发现谈判文件内容违反国家有关强制性规定的，应当停止评审并向采购人及采购代理机构说明情况。</w:t>
      </w:r>
    </w:p>
    <w:p>
      <w:pPr>
        <w:snapToGrid w:val="0"/>
        <w:spacing w:line="360" w:lineRule="auto"/>
        <w:ind w:firstLine="480" w:firstLineChars="200"/>
        <w:rPr>
          <w:rFonts w:hint="eastAsia" w:ascii="宋体" w:hAnsi="宋体" w:cs="宋体"/>
          <w:sz w:val="24"/>
        </w:rPr>
      </w:pPr>
      <w:r>
        <w:rPr>
          <w:rFonts w:hint="eastAsia" w:ascii="宋体" w:hAnsi="宋体" w:cs="宋体"/>
          <w:sz w:val="24"/>
        </w:rPr>
        <w:t xml:space="preserve">30.5投标人存在以下不良信用记录情形之一,不得推荐为中标候选人: </w:t>
      </w:r>
    </w:p>
    <w:p>
      <w:pPr>
        <w:snapToGrid w:val="0"/>
        <w:spacing w:line="360" w:lineRule="auto"/>
        <w:ind w:firstLine="480" w:firstLineChars="200"/>
        <w:rPr>
          <w:rFonts w:hint="eastAsia" w:ascii="宋体" w:hAnsi="宋体" w:cs="宋体"/>
          <w:sz w:val="24"/>
        </w:rPr>
      </w:pPr>
      <w:r>
        <w:rPr>
          <w:rFonts w:hint="eastAsia" w:ascii="宋体" w:hAnsi="宋体" w:cs="宋体"/>
          <w:sz w:val="24"/>
        </w:rPr>
        <w:t>(1)投标人被人民法院列入失信被执行人的；</w:t>
      </w:r>
    </w:p>
    <w:p>
      <w:pPr>
        <w:snapToGrid w:val="0"/>
        <w:spacing w:line="360" w:lineRule="auto"/>
        <w:ind w:firstLine="480" w:firstLineChars="200"/>
        <w:rPr>
          <w:rFonts w:hint="eastAsia" w:ascii="宋体" w:hAnsi="宋体" w:cs="宋体"/>
          <w:sz w:val="24"/>
        </w:rPr>
      </w:pPr>
      <w:r>
        <w:rPr>
          <w:rFonts w:hint="eastAsia" w:ascii="宋体" w:hAnsi="宋体" w:cs="宋体"/>
          <w:sz w:val="24"/>
        </w:rPr>
        <w:t xml:space="preserve">(2)供应商或其法定代表人或拟派项目经理（项目负责人）近三年内被人民检察院列入行贿犯罪档案的； </w:t>
      </w:r>
    </w:p>
    <w:p>
      <w:pPr>
        <w:snapToGrid w:val="0"/>
        <w:spacing w:line="360" w:lineRule="auto"/>
        <w:ind w:firstLine="480" w:firstLineChars="200"/>
        <w:rPr>
          <w:rFonts w:hint="eastAsia" w:ascii="宋体" w:hAnsi="宋体" w:cs="宋体"/>
          <w:sz w:val="24"/>
        </w:rPr>
      </w:pPr>
      <w:r>
        <w:rPr>
          <w:rFonts w:hint="eastAsia" w:ascii="宋体" w:hAnsi="宋体" w:cs="宋体"/>
          <w:sz w:val="24"/>
        </w:rPr>
        <w:t>(3)投标人被工商行政管理部门列入企业经营异常名录的；</w:t>
      </w:r>
    </w:p>
    <w:p>
      <w:pPr>
        <w:snapToGrid w:val="0"/>
        <w:spacing w:line="360" w:lineRule="auto"/>
        <w:ind w:firstLine="480" w:firstLineChars="200"/>
        <w:rPr>
          <w:rFonts w:hint="eastAsia" w:ascii="宋体" w:hAnsi="宋体" w:cs="宋体"/>
          <w:sz w:val="24"/>
        </w:rPr>
      </w:pPr>
      <w:r>
        <w:rPr>
          <w:rFonts w:hint="eastAsia" w:ascii="宋体" w:hAnsi="宋体" w:cs="宋体"/>
          <w:sz w:val="24"/>
        </w:rPr>
        <w:t>(4)投标人被税务部门列入重大税收违法案件当事人名单的；</w:t>
      </w:r>
    </w:p>
    <w:p>
      <w:pPr>
        <w:snapToGrid w:val="0"/>
        <w:spacing w:line="360" w:lineRule="auto"/>
        <w:ind w:firstLine="480" w:firstLineChars="200"/>
        <w:rPr>
          <w:rFonts w:ascii="宋体" w:hAnsi="宋体" w:cs="宋体"/>
          <w:sz w:val="24"/>
        </w:rPr>
      </w:pPr>
      <w:r>
        <w:rPr>
          <w:rFonts w:hint="eastAsia" w:ascii="宋体" w:hAnsi="宋体" w:cs="宋体"/>
          <w:sz w:val="24"/>
        </w:rPr>
        <w:t>(5)投标人被政府采购监管部门列入政府采购严重违法失信行为记录名单的。</w:t>
      </w:r>
    </w:p>
    <w:p>
      <w:pPr>
        <w:snapToGrid w:val="0"/>
        <w:spacing w:line="360" w:lineRule="auto"/>
        <w:ind w:firstLine="480" w:firstLineChars="200"/>
        <w:rPr>
          <w:rFonts w:hint="eastAsia" w:ascii="宋体" w:hAnsi="宋体" w:cs="宋体"/>
          <w:sz w:val="24"/>
        </w:rPr>
      </w:pPr>
      <w:r>
        <w:rPr>
          <w:rFonts w:hint="eastAsia" w:ascii="宋体" w:hAnsi="宋体" w:cs="宋体"/>
          <w:sz w:val="24"/>
        </w:rPr>
        <w:t>由采购人代表或委托评标委员会在推荐成交候选人前对拟推荐的成交候选人进行查询并将查询结果截图反馈至评标委员会，</w:t>
      </w:r>
      <w:r>
        <w:rPr>
          <w:rFonts w:hint="eastAsia" w:ascii="宋体" w:hAnsi="宋体" w:cs="宋体"/>
          <w:b/>
          <w:sz w:val="24"/>
        </w:rPr>
        <w:t>由评标委员会记录在评标报告中</w:t>
      </w:r>
      <w:r>
        <w:rPr>
          <w:rFonts w:hint="eastAsia" w:ascii="宋体" w:hAnsi="宋体" w:cs="宋体"/>
          <w:sz w:val="24"/>
        </w:rPr>
        <w:t>。如在上述网站查询结果均显示没有相关记录，视为没有上述不良信用记录。如评标过程中因网络、网站的问题无法查询时，在中标公告期间由采购人代表查询并直接采用。</w:t>
      </w:r>
    </w:p>
    <w:p>
      <w:pPr>
        <w:snapToGrid w:val="0"/>
        <w:spacing w:line="360" w:lineRule="auto"/>
        <w:ind w:firstLine="480" w:firstLineChars="200"/>
        <w:rPr>
          <w:rFonts w:ascii="宋体" w:hAnsi="宋体" w:cs="宋体"/>
          <w:b/>
          <w:sz w:val="24"/>
        </w:rPr>
      </w:pPr>
      <w:r>
        <w:rPr>
          <w:rFonts w:hint="eastAsia" w:ascii="宋体" w:hAnsi="宋体" w:cs="宋体"/>
          <w:b/>
          <w:sz w:val="24"/>
        </w:rPr>
        <w:t>以上情形由投标人按投标函格式填写相关承诺。</w:t>
      </w:r>
    </w:p>
    <w:p>
      <w:pPr>
        <w:snapToGrid w:val="0"/>
        <w:spacing w:line="360" w:lineRule="auto"/>
        <w:ind w:firstLine="480" w:firstLineChars="200"/>
        <w:rPr>
          <w:rFonts w:hint="eastAsia" w:ascii="宋体" w:hAnsi="宋体" w:cs="宋体"/>
          <w:kern w:val="0"/>
          <w:sz w:val="24"/>
        </w:rPr>
      </w:pPr>
      <w:r>
        <w:rPr>
          <w:rFonts w:hint="eastAsia" w:ascii="宋体" w:hAnsi="宋体" w:cs="宋体"/>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9"/>
        <w:wordWrap w:val="0"/>
        <w:adjustRightInd/>
        <w:snapToGrid w:val="0"/>
        <w:spacing w:line="360" w:lineRule="auto"/>
        <w:ind w:firstLine="480" w:firstLineChars="200"/>
        <w:jc w:val="both"/>
        <w:rPr>
          <w:rFonts w:hint="eastAsia"/>
          <w:b/>
        </w:rPr>
      </w:pPr>
      <w:r>
        <w:rPr>
          <w:rFonts w:hint="eastAsia"/>
          <w:b/>
        </w:rPr>
        <w:t>31、有效性审查</w:t>
      </w:r>
    </w:p>
    <w:p>
      <w:pPr>
        <w:widowControl/>
        <w:snapToGrid w:val="0"/>
        <w:spacing w:line="360" w:lineRule="auto"/>
        <w:jc w:val="left"/>
        <w:rPr>
          <w:rFonts w:hint="eastAsia" w:ascii="宋体" w:hAnsi="宋体" w:cs="宋体"/>
          <w:b/>
          <w:bCs/>
          <w:kern w:val="0"/>
          <w:sz w:val="24"/>
          <w:lang w:bidi="ar"/>
        </w:rPr>
      </w:pPr>
      <w:r>
        <w:rPr>
          <w:rFonts w:hint="eastAsia" w:ascii="宋体" w:hAnsi="宋体" w:cs="宋体"/>
          <w:b/>
          <w:bCs/>
          <w:kern w:val="0"/>
          <w:sz w:val="24"/>
        </w:rPr>
        <w:t>开标后，采购人委托评标委员会</w:t>
      </w:r>
      <w:r>
        <w:rPr>
          <w:rFonts w:hint="eastAsia" w:ascii="宋体" w:hAnsi="宋体" w:cs="宋体"/>
          <w:b/>
          <w:bCs/>
          <w:sz w:val="24"/>
        </w:rPr>
        <w:t>对供应商进行有效性</w:t>
      </w:r>
      <w:r>
        <w:rPr>
          <w:rFonts w:hint="eastAsia" w:ascii="宋体" w:hAnsi="宋体" w:cs="宋体"/>
          <w:b/>
          <w:bCs/>
          <w:kern w:val="0"/>
          <w:sz w:val="24"/>
        </w:rPr>
        <w:t>审查。</w:t>
      </w:r>
      <w:r>
        <w:rPr>
          <w:rFonts w:hint="eastAsia" w:ascii="宋体" w:hAnsi="宋体" w:cs="宋体"/>
          <w:b/>
          <w:bCs/>
          <w:kern w:val="0"/>
          <w:sz w:val="24"/>
          <w:lang w:bidi="ar"/>
        </w:rPr>
        <w:t>若有一项不通过，作无效标处理。</w:t>
      </w:r>
    </w:p>
    <w:p>
      <w:pPr>
        <w:pStyle w:val="6"/>
        <w:rPr>
          <w:rFonts w:hint="eastAsia"/>
        </w:rPr>
      </w:pPr>
    </w:p>
    <w:tbl>
      <w:tblPr>
        <w:tblStyle w:val="20"/>
        <w:tblW w:w="10195" w:type="dxa"/>
        <w:jc w:val="center"/>
        <w:tblLayout w:type="fixed"/>
        <w:tblCellMar>
          <w:top w:w="0" w:type="dxa"/>
          <w:left w:w="108" w:type="dxa"/>
          <w:bottom w:w="0" w:type="dxa"/>
          <w:right w:w="108" w:type="dxa"/>
        </w:tblCellMar>
      </w:tblPr>
      <w:tblGrid>
        <w:gridCol w:w="816"/>
        <w:gridCol w:w="1897"/>
        <w:gridCol w:w="4394"/>
        <w:gridCol w:w="3088"/>
      </w:tblGrid>
      <w:tr>
        <w:tblPrEx>
          <w:tblCellMar>
            <w:top w:w="0" w:type="dxa"/>
            <w:left w:w="108" w:type="dxa"/>
            <w:bottom w:w="0" w:type="dxa"/>
            <w:right w:w="108" w:type="dxa"/>
          </w:tblCellMar>
        </w:tblPrEx>
        <w:trPr>
          <w:trHeight w:val="588" w:hRule="atLeast"/>
          <w:jc w:val="center"/>
        </w:trPr>
        <w:tc>
          <w:tcPr>
            <w:tcW w:w="816" w:type="dxa"/>
            <w:tcBorders>
              <w:top w:val="single" w:color="auto" w:sz="6" w:space="0"/>
              <w:left w:val="single" w:color="auto" w:sz="6" w:space="0"/>
              <w:bottom w:val="single" w:color="auto" w:sz="6" w:space="0"/>
              <w:right w:val="single" w:color="auto" w:sz="6" w:space="0"/>
            </w:tcBorders>
            <w:noWrap w:val="0"/>
            <w:vAlign w:val="center"/>
          </w:tcPr>
          <w:p>
            <w:pPr>
              <w:pStyle w:val="29"/>
              <w:adjustRightInd/>
              <w:snapToGrid w:val="0"/>
              <w:jc w:val="center"/>
              <w:rPr>
                <w:rFonts w:hint="eastAsia"/>
                <w:sz w:val="22"/>
              </w:rPr>
            </w:pPr>
            <w:r>
              <w:rPr>
                <w:rFonts w:hint="eastAsia"/>
                <w:sz w:val="22"/>
              </w:rPr>
              <w:t>序号</w:t>
            </w:r>
          </w:p>
        </w:tc>
        <w:tc>
          <w:tcPr>
            <w:tcW w:w="1897" w:type="dxa"/>
            <w:tcBorders>
              <w:top w:val="single" w:color="auto" w:sz="6" w:space="0"/>
              <w:left w:val="single" w:color="auto" w:sz="6" w:space="0"/>
              <w:bottom w:val="single" w:color="auto" w:sz="6" w:space="0"/>
              <w:right w:val="single" w:color="auto" w:sz="6" w:space="0"/>
            </w:tcBorders>
            <w:noWrap w:val="0"/>
            <w:vAlign w:val="center"/>
          </w:tcPr>
          <w:p>
            <w:pPr>
              <w:pStyle w:val="29"/>
              <w:adjustRightInd/>
              <w:snapToGrid w:val="0"/>
              <w:jc w:val="center"/>
              <w:rPr>
                <w:rFonts w:hint="eastAsia"/>
                <w:sz w:val="22"/>
              </w:rPr>
            </w:pPr>
            <w:r>
              <w:rPr>
                <w:rFonts w:hint="eastAsia"/>
                <w:sz w:val="22"/>
              </w:rPr>
              <w:t>项目内容</w:t>
            </w:r>
          </w:p>
        </w:tc>
        <w:tc>
          <w:tcPr>
            <w:tcW w:w="4394" w:type="dxa"/>
            <w:tcBorders>
              <w:top w:val="single" w:color="auto" w:sz="6" w:space="0"/>
              <w:left w:val="single" w:color="auto" w:sz="6" w:space="0"/>
              <w:bottom w:val="single" w:color="auto" w:sz="6" w:space="0"/>
              <w:right w:val="single" w:color="auto" w:sz="6" w:space="0"/>
            </w:tcBorders>
            <w:noWrap w:val="0"/>
            <w:vAlign w:val="center"/>
          </w:tcPr>
          <w:p>
            <w:pPr>
              <w:pStyle w:val="29"/>
              <w:adjustRightInd/>
              <w:snapToGrid w:val="0"/>
              <w:jc w:val="center"/>
              <w:rPr>
                <w:rFonts w:hint="eastAsia"/>
                <w:sz w:val="22"/>
              </w:rPr>
            </w:pPr>
            <w:r>
              <w:rPr>
                <w:rFonts w:hint="eastAsia"/>
                <w:sz w:val="22"/>
              </w:rPr>
              <w:t>合格条件</w:t>
            </w:r>
          </w:p>
        </w:tc>
        <w:tc>
          <w:tcPr>
            <w:tcW w:w="3088" w:type="dxa"/>
            <w:tcBorders>
              <w:top w:val="single" w:color="auto" w:sz="6" w:space="0"/>
              <w:left w:val="single" w:color="auto" w:sz="6" w:space="0"/>
              <w:bottom w:val="single" w:color="auto" w:sz="6" w:space="0"/>
              <w:right w:val="single" w:color="auto" w:sz="6" w:space="0"/>
            </w:tcBorders>
            <w:noWrap w:val="0"/>
            <w:vAlign w:val="center"/>
          </w:tcPr>
          <w:p>
            <w:pPr>
              <w:pStyle w:val="29"/>
              <w:adjustRightInd/>
              <w:snapToGrid w:val="0"/>
              <w:jc w:val="center"/>
              <w:rPr>
                <w:rFonts w:hint="eastAsia"/>
                <w:sz w:val="22"/>
              </w:rPr>
            </w:pPr>
            <w:r>
              <w:rPr>
                <w:rFonts w:hint="eastAsia"/>
                <w:sz w:val="22"/>
              </w:rPr>
              <w:t>审核材料要求</w:t>
            </w:r>
          </w:p>
        </w:tc>
      </w:tr>
      <w:tr>
        <w:tblPrEx>
          <w:tblCellMar>
            <w:top w:w="0" w:type="dxa"/>
            <w:left w:w="108" w:type="dxa"/>
            <w:bottom w:w="0" w:type="dxa"/>
            <w:right w:w="108" w:type="dxa"/>
          </w:tblCellMar>
        </w:tblPrEx>
        <w:trPr>
          <w:trHeight w:val="1472" w:hRule="atLeast"/>
          <w:jc w:val="center"/>
        </w:trPr>
        <w:tc>
          <w:tcPr>
            <w:tcW w:w="816" w:type="dxa"/>
            <w:tcBorders>
              <w:top w:val="single" w:color="auto" w:sz="6" w:space="0"/>
              <w:left w:val="single" w:color="auto" w:sz="6" w:space="0"/>
              <w:bottom w:val="single" w:color="auto" w:sz="6" w:space="0"/>
              <w:right w:val="single" w:color="auto" w:sz="6" w:space="0"/>
            </w:tcBorders>
            <w:noWrap w:val="0"/>
            <w:vAlign w:val="center"/>
          </w:tcPr>
          <w:p>
            <w:pPr>
              <w:pStyle w:val="29"/>
              <w:adjustRightInd/>
              <w:snapToGrid w:val="0"/>
              <w:jc w:val="center"/>
              <w:rPr>
                <w:rFonts w:hint="eastAsia"/>
                <w:sz w:val="22"/>
              </w:rPr>
            </w:pPr>
            <w:r>
              <w:rPr>
                <w:rFonts w:hint="eastAsia"/>
                <w:sz w:val="22"/>
              </w:rPr>
              <w:t>1</w:t>
            </w:r>
          </w:p>
        </w:tc>
        <w:tc>
          <w:tcPr>
            <w:tcW w:w="1897" w:type="dxa"/>
            <w:tcBorders>
              <w:top w:val="single" w:color="auto" w:sz="6" w:space="0"/>
              <w:left w:val="single" w:color="auto" w:sz="6" w:space="0"/>
              <w:bottom w:val="single" w:color="auto" w:sz="6" w:space="0"/>
              <w:right w:val="single" w:color="auto" w:sz="6" w:space="0"/>
            </w:tcBorders>
            <w:noWrap w:val="0"/>
            <w:vAlign w:val="center"/>
          </w:tcPr>
          <w:p>
            <w:pPr>
              <w:pStyle w:val="29"/>
              <w:adjustRightInd/>
              <w:snapToGrid w:val="0"/>
              <w:jc w:val="center"/>
              <w:rPr>
                <w:rFonts w:hint="eastAsia"/>
                <w:sz w:val="22"/>
              </w:rPr>
            </w:pPr>
            <w:r>
              <w:rPr>
                <w:rFonts w:hint="eastAsia"/>
                <w:sz w:val="22"/>
              </w:rPr>
              <w:t>授权委托书、法定代表人身份证明书</w:t>
            </w:r>
          </w:p>
        </w:tc>
        <w:tc>
          <w:tcPr>
            <w:tcW w:w="4394" w:type="dxa"/>
            <w:tcBorders>
              <w:top w:val="single" w:color="auto" w:sz="6" w:space="0"/>
              <w:left w:val="single" w:color="auto" w:sz="6" w:space="0"/>
              <w:bottom w:val="single" w:color="auto" w:sz="6" w:space="0"/>
              <w:right w:val="single" w:color="auto" w:sz="6" w:space="0"/>
            </w:tcBorders>
            <w:noWrap w:val="0"/>
            <w:vAlign w:val="center"/>
          </w:tcPr>
          <w:p>
            <w:pPr>
              <w:pStyle w:val="29"/>
              <w:adjustRightInd/>
              <w:snapToGrid w:val="0"/>
              <w:jc w:val="both"/>
              <w:rPr>
                <w:rFonts w:hint="eastAsia"/>
                <w:sz w:val="22"/>
              </w:rPr>
            </w:pPr>
            <w:r>
              <w:rPr>
                <w:rFonts w:hint="eastAsia"/>
                <w:sz w:val="22"/>
              </w:rPr>
              <w:t>供应商授权的委托代理人有合法、有效的委托书，委托书按相应要求签字或盖章。同时委托人符合文件相关要求。法定代表人身份证明书按谈判响应文件进行填写。</w:t>
            </w:r>
          </w:p>
        </w:tc>
        <w:tc>
          <w:tcPr>
            <w:tcW w:w="3088" w:type="dxa"/>
            <w:tcBorders>
              <w:top w:val="single" w:color="auto" w:sz="6" w:space="0"/>
              <w:left w:val="single" w:color="auto" w:sz="6" w:space="0"/>
              <w:bottom w:val="single" w:color="auto" w:sz="6" w:space="0"/>
              <w:right w:val="single" w:color="auto" w:sz="6" w:space="0"/>
            </w:tcBorders>
            <w:noWrap w:val="0"/>
            <w:vAlign w:val="center"/>
          </w:tcPr>
          <w:p>
            <w:pPr>
              <w:pStyle w:val="29"/>
              <w:adjustRightInd/>
              <w:snapToGrid w:val="0"/>
              <w:jc w:val="both"/>
              <w:rPr>
                <w:rFonts w:hint="eastAsia"/>
                <w:sz w:val="22"/>
              </w:rPr>
            </w:pPr>
            <w:r>
              <w:rPr>
                <w:rFonts w:hint="eastAsia"/>
                <w:sz w:val="22"/>
              </w:rPr>
              <w:t xml:space="preserve">  提供授权委托书和法定代表人身份证明书装订入谈判响应文件。（法定代表人参加投标的提供身份证明书即可，无需投标授权书）</w:t>
            </w:r>
          </w:p>
        </w:tc>
      </w:tr>
      <w:tr>
        <w:tblPrEx>
          <w:tblCellMar>
            <w:top w:w="0" w:type="dxa"/>
            <w:left w:w="108" w:type="dxa"/>
            <w:bottom w:w="0" w:type="dxa"/>
            <w:right w:w="108" w:type="dxa"/>
          </w:tblCellMar>
        </w:tblPrEx>
        <w:trPr>
          <w:trHeight w:val="588" w:hRule="atLeast"/>
          <w:jc w:val="center"/>
        </w:trPr>
        <w:tc>
          <w:tcPr>
            <w:tcW w:w="816" w:type="dxa"/>
            <w:vMerge w:val="restart"/>
            <w:tcBorders>
              <w:top w:val="single" w:color="auto" w:sz="4" w:space="0"/>
              <w:left w:val="single" w:color="auto" w:sz="6" w:space="0"/>
              <w:right w:val="single" w:color="auto" w:sz="6" w:space="0"/>
            </w:tcBorders>
            <w:noWrap w:val="0"/>
            <w:vAlign w:val="center"/>
          </w:tcPr>
          <w:p>
            <w:pPr>
              <w:pStyle w:val="29"/>
              <w:adjustRightInd/>
              <w:snapToGrid w:val="0"/>
              <w:jc w:val="center"/>
              <w:rPr>
                <w:rFonts w:hint="eastAsia"/>
                <w:sz w:val="22"/>
              </w:rPr>
            </w:pPr>
            <w:r>
              <w:rPr>
                <w:rFonts w:hint="eastAsia"/>
                <w:sz w:val="22"/>
              </w:rPr>
              <w:t>2</w:t>
            </w:r>
          </w:p>
        </w:tc>
        <w:tc>
          <w:tcPr>
            <w:tcW w:w="1897" w:type="dxa"/>
            <w:vMerge w:val="restart"/>
            <w:tcBorders>
              <w:top w:val="single" w:color="auto" w:sz="4" w:space="0"/>
              <w:left w:val="single" w:color="auto" w:sz="6" w:space="0"/>
              <w:right w:val="single" w:color="auto" w:sz="6" w:space="0"/>
            </w:tcBorders>
            <w:noWrap w:val="0"/>
            <w:vAlign w:val="center"/>
          </w:tcPr>
          <w:p>
            <w:pPr>
              <w:pStyle w:val="29"/>
              <w:adjustRightInd/>
              <w:snapToGrid w:val="0"/>
              <w:jc w:val="center"/>
              <w:rPr>
                <w:rFonts w:hint="eastAsia"/>
                <w:sz w:val="22"/>
              </w:rPr>
            </w:pPr>
            <w:r>
              <w:rPr>
                <w:rFonts w:hint="eastAsia"/>
                <w:sz w:val="22"/>
              </w:rPr>
              <w:t>需要提供的投标资格证明资料</w:t>
            </w:r>
          </w:p>
        </w:tc>
        <w:tc>
          <w:tcPr>
            <w:tcW w:w="4394"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both"/>
              <w:rPr>
                <w:rFonts w:hint="eastAsia"/>
                <w:sz w:val="22"/>
              </w:rPr>
            </w:pPr>
            <w:r>
              <w:rPr>
                <w:rFonts w:hint="eastAsia"/>
                <w:sz w:val="22"/>
              </w:rPr>
              <w:t>满足《中华人民共和国政府采购法》第二十二条的全部要求</w:t>
            </w:r>
          </w:p>
        </w:tc>
        <w:tc>
          <w:tcPr>
            <w:tcW w:w="3088"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both"/>
              <w:rPr>
                <w:sz w:val="22"/>
              </w:rPr>
            </w:pPr>
            <w:r>
              <w:rPr>
                <w:rFonts w:hint="eastAsia"/>
                <w:sz w:val="22"/>
              </w:rPr>
              <w:t>1.提供营业执照或事业单位法人证书复印件装订入谈判响应文件。</w:t>
            </w:r>
          </w:p>
          <w:p>
            <w:pPr>
              <w:pStyle w:val="29"/>
              <w:adjustRightInd/>
              <w:snapToGrid w:val="0"/>
              <w:jc w:val="both"/>
              <w:rPr>
                <w:rFonts w:hint="eastAsia"/>
                <w:sz w:val="22"/>
              </w:rPr>
            </w:pPr>
            <w:r>
              <w:rPr>
                <w:rFonts w:hint="eastAsia"/>
                <w:sz w:val="22"/>
              </w:rPr>
              <w:t>2</w:t>
            </w:r>
            <w:r>
              <w:rPr>
                <w:sz w:val="22"/>
              </w:rPr>
              <w:t>.</w:t>
            </w:r>
            <w:r>
              <w:rPr>
                <w:rFonts w:hint="eastAsia"/>
                <w:sz w:val="22"/>
              </w:rPr>
              <w:t>按谈判响应函格式填写相关承诺。</w:t>
            </w:r>
          </w:p>
        </w:tc>
      </w:tr>
      <w:tr>
        <w:tblPrEx>
          <w:tblCellMar>
            <w:top w:w="0" w:type="dxa"/>
            <w:left w:w="108" w:type="dxa"/>
            <w:bottom w:w="0" w:type="dxa"/>
            <w:right w:w="108" w:type="dxa"/>
          </w:tblCellMar>
        </w:tblPrEx>
        <w:trPr>
          <w:trHeight w:val="588" w:hRule="atLeast"/>
          <w:jc w:val="center"/>
        </w:trPr>
        <w:tc>
          <w:tcPr>
            <w:tcW w:w="816" w:type="dxa"/>
            <w:vMerge w:val="continue"/>
            <w:tcBorders>
              <w:left w:val="single" w:color="auto" w:sz="6" w:space="0"/>
              <w:right w:val="single" w:color="auto" w:sz="6" w:space="0"/>
            </w:tcBorders>
            <w:noWrap w:val="0"/>
            <w:vAlign w:val="center"/>
          </w:tcPr>
          <w:p>
            <w:pPr>
              <w:pStyle w:val="29"/>
              <w:adjustRightInd/>
              <w:snapToGrid w:val="0"/>
              <w:jc w:val="center"/>
              <w:rPr>
                <w:rFonts w:hint="eastAsia"/>
                <w:sz w:val="22"/>
              </w:rPr>
            </w:pPr>
          </w:p>
        </w:tc>
        <w:tc>
          <w:tcPr>
            <w:tcW w:w="1897" w:type="dxa"/>
            <w:vMerge w:val="continue"/>
            <w:tcBorders>
              <w:left w:val="single" w:color="auto" w:sz="6" w:space="0"/>
              <w:right w:val="single" w:color="auto" w:sz="6" w:space="0"/>
            </w:tcBorders>
            <w:noWrap w:val="0"/>
            <w:vAlign w:val="center"/>
          </w:tcPr>
          <w:p>
            <w:pPr>
              <w:pStyle w:val="29"/>
              <w:adjustRightInd/>
              <w:snapToGrid w:val="0"/>
              <w:jc w:val="center"/>
              <w:rPr>
                <w:rFonts w:hint="eastAsia"/>
                <w:sz w:val="22"/>
              </w:rPr>
            </w:pPr>
          </w:p>
        </w:tc>
        <w:tc>
          <w:tcPr>
            <w:tcW w:w="4394"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both"/>
              <w:rPr>
                <w:rFonts w:hint="eastAsia"/>
                <w:sz w:val="22"/>
              </w:rPr>
            </w:pPr>
            <w:r>
              <w:rPr>
                <w:rFonts w:hint="eastAsia"/>
                <w:sz w:val="22"/>
              </w:rPr>
              <w:t>至投标截止日，供应商、法定代表人及拟派项目经理（项目负责人）近三年内均未被人民检察院列入行贿犯罪档案</w:t>
            </w:r>
          </w:p>
        </w:tc>
        <w:tc>
          <w:tcPr>
            <w:tcW w:w="3088"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both"/>
              <w:rPr>
                <w:rFonts w:hint="eastAsia"/>
                <w:sz w:val="22"/>
              </w:rPr>
            </w:pPr>
            <w:r>
              <w:rPr>
                <w:rFonts w:hint="eastAsia"/>
                <w:sz w:val="22"/>
              </w:rPr>
              <w:t>按谈判响应函格式填写相关承诺</w:t>
            </w:r>
          </w:p>
        </w:tc>
      </w:tr>
      <w:tr>
        <w:tblPrEx>
          <w:tblCellMar>
            <w:top w:w="0" w:type="dxa"/>
            <w:left w:w="108" w:type="dxa"/>
            <w:bottom w:w="0" w:type="dxa"/>
            <w:right w:w="108" w:type="dxa"/>
          </w:tblCellMar>
        </w:tblPrEx>
        <w:trPr>
          <w:trHeight w:val="1812" w:hRule="atLeast"/>
          <w:jc w:val="center"/>
        </w:trPr>
        <w:tc>
          <w:tcPr>
            <w:tcW w:w="816" w:type="dxa"/>
            <w:vMerge w:val="continue"/>
            <w:tcBorders>
              <w:left w:val="single" w:color="auto" w:sz="6" w:space="0"/>
              <w:right w:val="single" w:color="auto" w:sz="6" w:space="0"/>
            </w:tcBorders>
            <w:noWrap w:val="0"/>
            <w:vAlign w:val="center"/>
          </w:tcPr>
          <w:p>
            <w:pPr>
              <w:pStyle w:val="29"/>
              <w:adjustRightInd/>
              <w:snapToGrid w:val="0"/>
              <w:jc w:val="center"/>
              <w:rPr>
                <w:rFonts w:hint="eastAsia"/>
                <w:sz w:val="22"/>
              </w:rPr>
            </w:pPr>
          </w:p>
        </w:tc>
        <w:tc>
          <w:tcPr>
            <w:tcW w:w="1897" w:type="dxa"/>
            <w:vMerge w:val="continue"/>
            <w:tcBorders>
              <w:left w:val="single" w:color="auto" w:sz="6" w:space="0"/>
              <w:right w:val="single" w:color="auto" w:sz="6" w:space="0"/>
            </w:tcBorders>
            <w:noWrap w:val="0"/>
            <w:vAlign w:val="center"/>
          </w:tcPr>
          <w:p>
            <w:pPr>
              <w:pStyle w:val="29"/>
              <w:adjustRightInd/>
              <w:snapToGrid w:val="0"/>
              <w:jc w:val="center"/>
              <w:rPr>
                <w:rFonts w:hint="eastAsia"/>
                <w:sz w:val="22"/>
              </w:rPr>
            </w:pPr>
          </w:p>
        </w:tc>
        <w:tc>
          <w:tcPr>
            <w:tcW w:w="4394"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both"/>
              <w:rPr>
                <w:rFonts w:hint="eastAsia"/>
                <w:sz w:val="22"/>
              </w:rPr>
            </w:pPr>
            <w:r>
              <w:rPr>
                <w:rFonts w:hint="eastAsia"/>
                <w:sz w:val="22"/>
              </w:rPr>
              <w:t>至投标截止日，我单位未被人民法院列入失信被执行人、未被工商行政管理部门列入企业经营异常名录、未被税务部门列入重大税收违法案件当事人名单、未被政府采购监管部门列入政府采购严重违法失信行为记录名单。</w:t>
            </w:r>
          </w:p>
        </w:tc>
        <w:tc>
          <w:tcPr>
            <w:tcW w:w="3088"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both"/>
              <w:rPr>
                <w:rFonts w:hint="eastAsia"/>
                <w:sz w:val="22"/>
              </w:rPr>
            </w:pPr>
            <w:r>
              <w:rPr>
                <w:rFonts w:hint="eastAsia"/>
                <w:sz w:val="22"/>
              </w:rPr>
              <w:t>按谈判响应函格式填写相关承诺</w:t>
            </w:r>
          </w:p>
        </w:tc>
      </w:tr>
      <w:tr>
        <w:tblPrEx>
          <w:tblCellMar>
            <w:top w:w="0" w:type="dxa"/>
            <w:left w:w="108" w:type="dxa"/>
            <w:bottom w:w="0" w:type="dxa"/>
            <w:right w:w="108" w:type="dxa"/>
          </w:tblCellMar>
        </w:tblPrEx>
        <w:trPr>
          <w:trHeight w:val="588" w:hRule="atLeast"/>
          <w:jc w:val="center"/>
        </w:trPr>
        <w:tc>
          <w:tcPr>
            <w:tcW w:w="816"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center"/>
              <w:rPr>
                <w:rFonts w:hint="eastAsia"/>
                <w:sz w:val="22"/>
              </w:rPr>
            </w:pPr>
            <w:r>
              <w:rPr>
                <w:rFonts w:hint="eastAsia"/>
                <w:sz w:val="22"/>
              </w:rPr>
              <w:t>3</w:t>
            </w:r>
          </w:p>
        </w:tc>
        <w:tc>
          <w:tcPr>
            <w:tcW w:w="1897"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center"/>
              <w:rPr>
                <w:rFonts w:hint="eastAsia"/>
                <w:sz w:val="22"/>
              </w:rPr>
            </w:pPr>
            <w:r>
              <w:rPr>
                <w:rFonts w:hint="eastAsia"/>
                <w:sz w:val="22"/>
              </w:rPr>
              <w:t>资格要求</w:t>
            </w:r>
          </w:p>
        </w:tc>
        <w:tc>
          <w:tcPr>
            <w:tcW w:w="4394" w:type="dxa"/>
            <w:tcBorders>
              <w:top w:val="single" w:color="auto" w:sz="4" w:space="0"/>
              <w:left w:val="single" w:color="auto" w:sz="6" w:space="0"/>
              <w:bottom w:val="single" w:color="auto" w:sz="4" w:space="0"/>
              <w:right w:val="single" w:color="auto" w:sz="6" w:space="0"/>
            </w:tcBorders>
            <w:noWrap w:val="0"/>
            <w:vAlign w:val="center"/>
          </w:tcPr>
          <w:p>
            <w:pPr>
              <w:pStyle w:val="29"/>
              <w:snapToGrid w:val="0"/>
              <w:rPr>
                <w:rFonts w:hint="eastAsia"/>
                <w:sz w:val="22"/>
              </w:rPr>
            </w:pPr>
            <w:r>
              <w:rPr>
                <w:rFonts w:hint="eastAsia"/>
                <w:sz w:val="22"/>
              </w:rPr>
              <w:t>（1）投标企业资格要求：见</w:t>
            </w:r>
            <w:r>
              <w:rPr>
                <w:rFonts w:hint="eastAsia"/>
                <w:sz w:val="22"/>
                <w:lang w:eastAsia="zh-CN"/>
              </w:rPr>
              <w:t>谈判</w:t>
            </w:r>
            <w:r>
              <w:rPr>
                <w:rFonts w:hint="eastAsia"/>
                <w:sz w:val="22"/>
              </w:rPr>
              <w:t>公告</w:t>
            </w:r>
          </w:p>
          <w:p>
            <w:pPr>
              <w:pStyle w:val="29"/>
              <w:adjustRightInd/>
              <w:snapToGrid w:val="0"/>
              <w:jc w:val="both"/>
              <w:rPr>
                <w:rFonts w:hint="eastAsia"/>
                <w:sz w:val="22"/>
              </w:rPr>
            </w:pPr>
            <w:r>
              <w:rPr>
                <w:rFonts w:hint="eastAsia"/>
                <w:sz w:val="22"/>
              </w:rPr>
              <w:t>（2）项目经理（或项目负责人）资格要求：见</w:t>
            </w:r>
            <w:r>
              <w:rPr>
                <w:rFonts w:hint="eastAsia"/>
                <w:sz w:val="22"/>
                <w:lang w:eastAsia="zh-CN"/>
              </w:rPr>
              <w:t>谈判</w:t>
            </w:r>
            <w:r>
              <w:rPr>
                <w:rFonts w:hint="eastAsia"/>
                <w:sz w:val="22"/>
              </w:rPr>
              <w:t>公告</w:t>
            </w:r>
          </w:p>
        </w:tc>
        <w:tc>
          <w:tcPr>
            <w:tcW w:w="3088"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both"/>
              <w:rPr>
                <w:rFonts w:hint="eastAsia"/>
                <w:sz w:val="22"/>
              </w:rPr>
            </w:pPr>
            <w:r>
              <w:rPr>
                <w:rFonts w:hint="eastAsia"/>
                <w:sz w:val="22"/>
              </w:rPr>
              <w:t>提供相应证书复印件并加盖公章装订入谈判响应文件。</w:t>
            </w:r>
          </w:p>
        </w:tc>
      </w:tr>
      <w:tr>
        <w:tblPrEx>
          <w:tblCellMar>
            <w:top w:w="0" w:type="dxa"/>
            <w:left w:w="108" w:type="dxa"/>
            <w:bottom w:w="0" w:type="dxa"/>
            <w:right w:w="108" w:type="dxa"/>
          </w:tblCellMar>
        </w:tblPrEx>
        <w:trPr>
          <w:trHeight w:val="588" w:hRule="atLeast"/>
          <w:jc w:val="center"/>
        </w:trPr>
        <w:tc>
          <w:tcPr>
            <w:tcW w:w="816"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center"/>
              <w:rPr>
                <w:rFonts w:hint="eastAsia"/>
                <w:sz w:val="22"/>
              </w:rPr>
            </w:pPr>
            <w:r>
              <w:rPr>
                <w:rFonts w:hint="eastAsia"/>
                <w:sz w:val="22"/>
              </w:rPr>
              <w:t>4</w:t>
            </w:r>
          </w:p>
        </w:tc>
        <w:tc>
          <w:tcPr>
            <w:tcW w:w="1897"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center"/>
              <w:rPr>
                <w:rFonts w:hint="eastAsia"/>
                <w:sz w:val="22"/>
              </w:rPr>
            </w:pPr>
            <w:r>
              <w:rPr>
                <w:rFonts w:hint="eastAsia"/>
                <w:sz w:val="22"/>
              </w:rPr>
              <w:t>标书规范性</w:t>
            </w:r>
          </w:p>
        </w:tc>
        <w:tc>
          <w:tcPr>
            <w:tcW w:w="4394" w:type="dxa"/>
            <w:tcBorders>
              <w:top w:val="single" w:color="auto" w:sz="4" w:space="0"/>
              <w:left w:val="single" w:color="auto" w:sz="6" w:space="0"/>
              <w:bottom w:val="single" w:color="auto" w:sz="4" w:space="0"/>
              <w:right w:val="single" w:color="auto" w:sz="6" w:space="0"/>
            </w:tcBorders>
            <w:noWrap w:val="0"/>
            <w:vAlign w:val="center"/>
          </w:tcPr>
          <w:p>
            <w:pPr>
              <w:pStyle w:val="29"/>
              <w:snapToGrid w:val="0"/>
              <w:jc w:val="both"/>
              <w:rPr>
                <w:rFonts w:hint="eastAsia"/>
                <w:sz w:val="22"/>
              </w:rPr>
            </w:pPr>
            <w:r>
              <w:rPr>
                <w:rFonts w:hint="eastAsia"/>
                <w:sz w:val="22"/>
              </w:rPr>
              <w:t>谈判响应文件符合谈判文件加密、标记、递交等的相应要求。</w:t>
            </w:r>
          </w:p>
        </w:tc>
        <w:tc>
          <w:tcPr>
            <w:tcW w:w="3088"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both"/>
              <w:rPr>
                <w:rFonts w:hint="eastAsia"/>
                <w:sz w:val="22"/>
              </w:rPr>
            </w:pPr>
          </w:p>
        </w:tc>
      </w:tr>
      <w:tr>
        <w:tblPrEx>
          <w:tblCellMar>
            <w:top w:w="0" w:type="dxa"/>
            <w:left w:w="108" w:type="dxa"/>
            <w:bottom w:w="0" w:type="dxa"/>
            <w:right w:w="108" w:type="dxa"/>
          </w:tblCellMar>
        </w:tblPrEx>
        <w:trPr>
          <w:trHeight w:val="588" w:hRule="atLeast"/>
          <w:jc w:val="center"/>
        </w:trPr>
        <w:tc>
          <w:tcPr>
            <w:tcW w:w="816"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center"/>
              <w:rPr>
                <w:rFonts w:hint="eastAsia"/>
                <w:sz w:val="22"/>
              </w:rPr>
            </w:pPr>
            <w:r>
              <w:rPr>
                <w:rFonts w:hint="eastAsia"/>
                <w:sz w:val="22"/>
              </w:rPr>
              <w:t>5</w:t>
            </w:r>
          </w:p>
        </w:tc>
        <w:tc>
          <w:tcPr>
            <w:tcW w:w="1897"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center"/>
              <w:rPr>
                <w:rFonts w:hint="eastAsia"/>
                <w:sz w:val="22"/>
              </w:rPr>
            </w:pPr>
            <w:r>
              <w:rPr>
                <w:rFonts w:hint="eastAsia"/>
                <w:sz w:val="22"/>
              </w:rPr>
              <w:t>标书盖章</w:t>
            </w:r>
          </w:p>
        </w:tc>
        <w:tc>
          <w:tcPr>
            <w:tcW w:w="4394" w:type="dxa"/>
            <w:tcBorders>
              <w:top w:val="single" w:color="auto" w:sz="4" w:space="0"/>
              <w:left w:val="single" w:color="auto" w:sz="6" w:space="0"/>
              <w:bottom w:val="single" w:color="auto" w:sz="4" w:space="0"/>
              <w:right w:val="single" w:color="auto" w:sz="6" w:space="0"/>
            </w:tcBorders>
            <w:noWrap w:val="0"/>
            <w:vAlign w:val="center"/>
          </w:tcPr>
          <w:p>
            <w:pPr>
              <w:pStyle w:val="29"/>
              <w:snapToGrid w:val="0"/>
              <w:jc w:val="both"/>
              <w:rPr>
                <w:rFonts w:hint="eastAsia"/>
                <w:sz w:val="22"/>
              </w:rPr>
            </w:pPr>
            <w:r>
              <w:rPr>
                <w:rFonts w:hint="eastAsia"/>
                <w:sz w:val="22"/>
              </w:rPr>
              <w:t>谈判响应文件盖章符合谈判文件的要求。</w:t>
            </w:r>
          </w:p>
        </w:tc>
        <w:tc>
          <w:tcPr>
            <w:tcW w:w="3088"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both"/>
              <w:rPr>
                <w:rFonts w:hint="eastAsia"/>
                <w:sz w:val="22"/>
              </w:rPr>
            </w:pPr>
          </w:p>
        </w:tc>
      </w:tr>
      <w:tr>
        <w:tblPrEx>
          <w:tblCellMar>
            <w:top w:w="0" w:type="dxa"/>
            <w:left w:w="108" w:type="dxa"/>
            <w:bottom w:w="0" w:type="dxa"/>
            <w:right w:w="108" w:type="dxa"/>
          </w:tblCellMar>
        </w:tblPrEx>
        <w:trPr>
          <w:trHeight w:val="588" w:hRule="atLeast"/>
          <w:jc w:val="center"/>
        </w:trPr>
        <w:tc>
          <w:tcPr>
            <w:tcW w:w="816"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center"/>
              <w:rPr>
                <w:rFonts w:hint="eastAsia"/>
                <w:sz w:val="22"/>
              </w:rPr>
            </w:pPr>
            <w:r>
              <w:rPr>
                <w:sz w:val="22"/>
              </w:rPr>
              <w:t>6</w:t>
            </w:r>
          </w:p>
        </w:tc>
        <w:tc>
          <w:tcPr>
            <w:tcW w:w="1897"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center"/>
              <w:rPr>
                <w:rFonts w:hint="eastAsia"/>
                <w:sz w:val="22"/>
              </w:rPr>
            </w:pPr>
            <w:r>
              <w:rPr>
                <w:rFonts w:hint="eastAsia"/>
                <w:sz w:val="22"/>
              </w:rPr>
              <w:t>标书响应情况</w:t>
            </w:r>
          </w:p>
        </w:tc>
        <w:tc>
          <w:tcPr>
            <w:tcW w:w="4394" w:type="dxa"/>
            <w:tcBorders>
              <w:top w:val="single" w:color="auto" w:sz="4" w:space="0"/>
              <w:left w:val="single" w:color="auto" w:sz="6" w:space="0"/>
              <w:bottom w:val="single" w:color="auto" w:sz="4" w:space="0"/>
              <w:right w:val="single" w:color="auto" w:sz="6" w:space="0"/>
            </w:tcBorders>
            <w:noWrap w:val="0"/>
            <w:vAlign w:val="center"/>
          </w:tcPr>
          <w:p>
            <w:pPr>
              <w:pStyle w:val="29"/>
              <w:snapToGrid w:val="0"/>
              <w:jc w:val="both"/>
              <w:rPr>
                <w:rFonts w:hint="eastAsia"/>
                <w:sz w:val="22"/>
              </w:rPr>
            </w:pPr>
            <w:r>
              <w:rPr>
                <w:rFonts w:hint="eastAsia"/>
                <w:sz w:val="22"/>
              </w:rPr>
              <w:t>质量标准要求、工期响应等内容满足竞争性谈判文件的实质性要求。</w:t>
            </w:r>
          </w:p>
        </w:tc>
        <w:tc>
          <w:tcPr>
            <w:tcW w:w="3088"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both"/>
              <w:rPr>
                <w:rFonts w:hint="eastAsia"/>
                <w:sz w:val="22"/>
              </w:rPr>
            </w:pPr>
            <w:r>
              <w:rPr>
                <w:rFonts w:hint="eastAsia"/>
                <w:sz w:val="22"/>
              </w:rPr>
              <w:t>审查谈判响应函、附录</w:t>
            </w:r>
          </w:p>
        </w:tc>
      </w:tr>
      <w:tr>
        <w:tblPrEx>
          <w:tblCellMar>
            <w:top w:w="0" w:type="dxa"/>
            <w:left w:w="108" w:type="dxa"/>
            <w:bottom w:w="0" w:type="dxa"/>
            <w:right w:w="108" w:type="dxa"/>
          </w:tblCellMar>
        </w:tblPrEx>
        <w:trPr>
          <w:trHeight w:val="588" w:hRule="atLeast"/>
          <w:jc w:val="center"/>
        </w:trPr>
        <w:tc>
          <w:tcPr>
            <w:tcW w:w="816"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center"/>
              <w:rPr>
                <w:rFonts w:hint="eastAsia"/>
                <w:sz w:val="22"/>
              </w:rPr>
            </w:pPr>
            <w:r>
              <w:rPr>
                <w:sz w:val="22"/>
              </w:rPr>
              <w:t>7</w:t>
            </w:r>
          </w:p>
        </w:tc>
        <w:tc>
          <w:tcPr>
            <w:tcW w:w="1897"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center"/>
              <w:rPr>
                <w:rFonts w:hint="eastAsia"/>
                <w:sz w:val="22"/>
              </w:rPr>
            </w:pPr>
            <w:r>
              <w:rPr>
                <w:rFonts w:hint="eastAsia"/>
                <w:sz w:val="22"/>
              </w:rPr>
              <w:t>其他要求</w:t>
            </w:r>
          </w:p>
        </w:tc>
        <w:tc>
          <w:tcPr>
            <w:tcW w:w="4394" w:type="dxa"/>
            <w:tcBorders>
              <w:top w:val="single" w:color="auto" w:sz="4" w:space="0"/>
              <w:left w:val="single" w:color="auto" w:sz="6" w:space="0"/>
              <w:bottom w:val="single" w:color="auto" w:sz="4" w:space="0"/>
              <w:right w:val="single" w:color="auto" w:sz="6" w:space="0"/>
            </w:tcBorders>
            <w:noWrap w:val="0"/>
            <w:vAlign w:val="center"/>
          </w:tcPr>
          <w:p>
            <w:pPr>
              <w:pStyle w:val="29"/>
              <w:snapToGrid w:val="0"/>
              <w:jc w:val="both"/>
              <w:rPr>
                <w:rFonts w:hint="eastAsia"/>
                <w:sz w:val="22"/>
              </w:rPr>
            </w:pPr>
            <w:r>
              <w:rPr>
                <w:rFonts w:hint="eastAsia"/>
                <w:sz w:val="22"/>
              </w:rPr>
              <w:t>法律、行政法规规定的其他条件或竞争性谈判邀请书、竞争性谈判文件列明的其他要求。</w:t>
            </w:r>
          </w:p>
        </w:tc>
        <w:tc>
          <w:tcPr>
            <w:tcW w:w="3088" w:type="dxa"/>
            <w:tcBorders>
              <w:top w:val="single" w:color="auto" w:sz="4" w:space="0"/>
              <w:left w:val="single" w:color="auto" w:sz="6" w:space="0"/>
              <w:bottom w:val="single" w:color="auto" w:sz="4" w:space="0"/>
              <w:right w:val="single" w:color="auto" w:sz="6" w:space="0"/>
            </w:tcBorders>
            <w:noWrap w:val="0"/>
            <w:vAlign w:val="center"/>
          </w:tcPr>
          <w:p>
            <w:pPr>
              <w:pStyle w:val="29"/>
              <w:adjustRightInd/>
              <w:snapToGrid w:val="0"/>
              <w:jc w:val="both"/>
              <w:rPr>
                <w:rFonts w:hint="eastAsia"/>
                <w:sz w:val="22"/>
              </w:rPr>
            </w:pPr>
          </w:p>
        </w:tc>
      </w:tr>
    </w:tbl>
    <w:p>
      <w:pPr>
        <w:pStyle w:val="29"/>
        <w:wordWrap w:val="0"/>
        <w:adjustRightInd/>
        <w:snapToGrid w:val="0"/>
        <w:spacing w:line="360" w:lineRule="auto"/>
        <w:jc w:val="both"/>
        <w:rPr>
          <w:rFonts w:hint="eastAsia"/>
        </w:rPr>
      </w:pPr>
    </w:p>
    <w:p>
      <w:pPr>
        <w:pStyle w:val="29"/>
        <w:wordWrap w:val="0"/>
        <w:adjustRightInd/>
        <w:snapToGrid w:val="0"/>
        <w:spacing w:line="360" w:lineRule="auto"/>
        <w:ind w:firstLine="480" w:firstLineChars="200"/>
        <w:jc w:val="both"/>
        <w:rPr>
          <w:rFonts w:hint="eastAsia"/>
          <w:b/>
        </w:rPr>
      </w:pPr>
      <w:r>
        <w:rPr>
          <w:rFonts w:hint="eastAsia"/>
          <w:b/>
        </w:rPr>
        <w:t>32、报价部分评审</w:t>
      </w:r>
    </w:p>
    <w:p>
      <w:pPr>
        <w:pStyle w:val="29"/>
        <w:wordWrap w:val="0"/>
        <w:adjustRightInd/>
        <w:snapToGrid w:val="0"/>
        <w:spacing w:line="360" w:lineRule="auto"/>
        <w:ind w:firstLine="480" w:firstLineChars="200"/>
        <w:jc w:val="both"/>
        <w:rPr>
          <w:rFonts w:hint="eastAsia"/>
        </w:rPr>
      </w:pPr>
      <w:r>
        <w:rPr>
          <w:rFonts w:hint="eastAsia"/>
          <w:bCs/>
        </w:rPr>
        <w:t>32.1</w:t>
      </w:r>
      <w:r>
        <w:rPr>
          <w:rFonts w:hint="eastAsia"/>
        </w:rPr>
        <w:t>供应商资格审查和符合性审查合格的，</w:t>
      </w:r>
      <w:r>
        <w:rPr>
          <w:rFonts w:hint="eastAsia"/>
          <w:lang w:eastAsia="zh-CN"/>
        </w:rPr>
        <w:t>查阅</w:t>
      </w:r>
      <w:r>
        <w:rPr>
          <w:rFonts w:hint="eastAsia"/>
        </w:rPr>
        <w:t>报价部分。</w:t>
      </w:r>
    </w:p>
    <w:p>
      <w:pPr>
        <w:pStyle w:val="29"/>
        <w:wordWrap w:val="0"/>
        <w:adjustRightInd/>
        <w:snapToGrid w:val="0"/>
        <w:spacing w:line="360" w:lineRule="auto"/>
        <w:ind w:firstLine="480" w:firstLineChars="200"/>
        <w:jc w:val="both"/>
        <w:rPr>
          <w:rFonts w:hint="eastAsia"/>
        </w:rPr>
      </w:pPr>
      <w:r>
        <w:rPr>
          <w:rFonts w:hint="eastAsia"/>
        </w:rPr>
        <w:t>32.2评审委员会将对进入报价部分评审的各供应商的报价部分有效性进行审查，经评审有效后，评审委员会将对报价部分进行校核，看其是否有计算或表达上的错误，修正错误的原则如下：</w:t>
      </w:r>
    </w:p>
    <w:p>
      <w:pPr>
        <w:pStyle w:val="29"/>
        <w:wordWrap w:val="0"/>
        <w:adjustRightInd/>
        <w:snapToGrid w:val="0"/>
        <w:spacing w:line="360" w:lineRule="auto"/>
        <w:ind w:firstLine="480" w:firstLineChars="200"/>
        <w:jc w:val="both"/>
        <w:rPr>
          <w:rFonts w:hint="eastAsia"/>
        </w:rPr>
      </w:pPr>
      <w:r>
        <w:rPr>
          <w:rFonts w:hint="eastAsia"/>
        </w:rPr>
        <w:t>32.2.1如果数字表示的金额和用文字表示的金额不一致时，应以文字表示的金额为准；</w:t>
      </w:r>
    </w:p>
    <w:p>
      <w:pPr>
        <w:pStyle w:val="29"/>
        <w:wordWrap w:val="0"/>
        <w:adjustRightInd/>
        <w:snapToGrid w:val="0"/>
        <w:spacing w:line="360" w:lineRule="auto"/>
        <w:ind w:firstLine="480" w:firstLineChars="200"/>
        <w:jc w:val="both"/>
        <w:rPr>
          <w:rFonts w:hint="eastAsia"/>
        </w:rPr>
      </w:pPr>
      <w:r>
        <w:rPr>
          <w:rFonts w:hint="eastAsia"/>
        </w:rPr>
        <w:t>32.2.2如果单价与数量的乘积和总价不一致，以单价为准；当单位小数点有明显的错误时，评委会将以总价为准，并修正其单价。</w:t>
      </w:r>
    </w:p>
    <w:p>
      <w:pPr>
        <w:pStyle w:val="29"/>
        <w:wordWrap w:val="0"/>
        <w:adjustRightInd/>
        <w:snapToGrid w:val="0"/>
        <w:spacing w:line="360" w:lineRule="auto"/>
        <w:ind w:firstLine="480" w:firstLineChars="200"/>
        <w:jc w:val="both"/>
        <w:rPr>
          <w:rFonts w:hint="eastAsia"/>
          <w:lang w:bidi="ar"/>
        </w:rPr>
      </w:pPr>
      <w:r>
        <w:rPr>
          <w:rFonts w:hint="eastAsia"/>
          <w:lang w:bidi="ar"/>
        </w:rPr>
        <w:t>32.2.3如果投标报价同时出现上述1、2两种情况，按第2种修正原则调整或修正谈判响应文件的投标报价。</w:t>
      </w:r>
    </w:p>
    <w:p>
      <w:pPr>
        <w:pStyle w:val="29"/>
        <w:wordWrap w:val="0"/>
        <w:adjustRightInd/>
        <w:snapToGrid w:val="0"/>
        <w:spacing w:line="360" w:lineRule="auto"/>
        <w:ind w:firstLine="480" w:firstLineChars="200"/>
        <w:jc w:val="both"/>
        <w:rPr>
          <w:rFonts w:hint="eastAsia"/>
        </w:rPr>
      </w:pPr>
      <w:r>
        <w:rPr>
          <w:rFonts w:hint="eastAsia"/>
        </w:rPr>
        <w:t>按上述修正错误的原则及方法调整或修正竞争性谈判响应文件的投标报价，供应商同意后，调整后的投标报价对供应商起约束作用。如果供应商不接受修正后的报价，则其投标将被拒绝并且其谈判响应保证金也将被没收，并不影响评标工作。</w:t>
      </w:r>
    </w:p>
    <w:p>
      <w:pPr>
        <w:pStyle w:val="29"/>
        <w:wordWrap w:val="0"/>
        <w:adjustRightInd/>
        <w:snapToGrid w:val="0"/>
        <w:spacing w:line="360" w:lineRule="auto"/>
        <w:ind w:firstLine="480" w:firstLineChars="200"/>
        <w:jc w:val="both"/>
        <w:rPr>
          <w:rFonts w:hint="eastAsia"/>
        </w:rPr>
      </w:pPr>
      <w:r>
        <w:rPr>
          <w:rFonts w:hint="eastAsia"/>
        </w:rPr>
        <w:t>32.3报价无效的几种情形</w:t>
      </w:r>
    </w:p>
    <w:p>
      <w:pPr>
        <w:pStyle w:val="29"/>
        <w:wordWrap w:val="0"/>
        <w:adjustRightInd/>
        <w:snapToGrid w:val="0"/>
        <w:spacing w:line="360" w:lineRule="auto"/>
        <w:ind w:firstLine="480" w:firstLineChars="200"/>
        <w:jc w:val="both"/>
        <w:rPr>
          <w:rFonts w:hint="eastAsia"/>
        </w:rPr>
      </w:pPr>
      <w:r>
        <w:rPr>
          <w:rFonts w:hint="eastAsia"/>
        </w:rPr>
        <w:t>32.3.1、投标报价高于预算控制；</w:t>
      </w:r>
    </w:p>
    <w:p>
      <w:pPr>
        <w:pStyle w:val="29"/>
        <w:wordWrap w:val="0"/>
        <w:adjustRightInd/>
        <w:snapToGrid w:val="0"/>
        <w:spacing w:line="360" w:lineRule="auto"/>
        <w:ind w:firstLine="480" w:firstLineChars="200"/>
        <w:jc w:val="both"/>
        <w:rPr>
          <w:rFonts w:hint="eastAsia"/>
        </w:rPr>
      </w:pPr>
      <w:r>
        <w:rPr>
          <w:rFonts w:hint="eastAsia"/>
        </w:rPr>
        <w:t>32.3.2、经评标委员会认定低于成本的；</w:t>
      </w:r>
    </w:p>
    <w:p>
      <w:pPr>
        <w:pStyle w:val="29"/>
        <w:wordWrap w:val="0"/>
        <w:adjustRightInd/>
        <w:snapToGrid w:val="0"/>
        <w:spacing w:line="360" w:lineRule="auto"/>
        <w:ind w:firstLine="480" w:firstLineChars="200"/>
        <w:jc w:val="both"/>
        <w:rPr>
          <w:rFonts w:hint="eastAsia"/>
        </w:rPr>
      </w:pPr>
      <w:r>
        <w:rPr>
          <w:rFonts w:hint="eastAsia"/>
        </w:rPr>
        <w:t>32.3.3、经评标委员会认定报价出现异常导致不能保证政府采购资金的使用效益的。</w:t>
      </w:r>
    </w:p>
    <w:p>
      <w:pPr>
        <w:pStyle w:val="29"/>
        <w:wordWrap w:val="0"/>
        <w:snapToGrid w:val="0"/>
        <w:spacing w:line="360" w:lineRule="auto"/>
        <w:ind w:firstLine="480" w:firstLineChars="200"/>
        <w:rPr>
          <w:rFonts w:hint="eastAsia"/>
        </w:rPr>
      </w:pPr>
      <w:r>
        <w:rPr>
          <w:rFonts w:hint="eastAsia"/>
        </w:rPr>
        <w:t>32.3.4、界定为重大偏差的：</w:t>
      </w:r>
    </w:p>
    <w:p>
      <w:pPr>
        <w:pStyle w:val="29"/>
        <w:wordWrap w:val="0"/>
        <w:snapToGrid w:val="0"/>
        <w:spacing w:line="360" w:lineRule="auto"/>
        <w:ind w:firstLine="480" w:firstLineChars="200"/>
        <w:rPr>
          <w:rFonts w:hint="eastAsia"/>
        </w:rPr>
      </w:pPr>
      <w:r>
        <w:rPr>
          <w:rFonts w:hint="eastAsia"/>
        </w:rPr>
        <w:t>（1）投标人投标报价超过最高投标限价的。</w:t>
      </w:r>
    </w:p>
    <w:p>
      <w:pPr>
        <w:pStyle w:val="29"/>
        <w:wordWrap w:val="0"/>
        <w:snapToGrid w:val="0"/>
        <w:spacing w:line="360" w:lineRule="auto"/>
        <w:ind w:firstLine="480" w:firstLineChars="200"/>
        <w:rPr>
          <w:rFonts w:hint="eastAsia"/>
        </w:rPr>
      </w:pPr>
      <w:r>
        <w:rPr>
          <w:rFonts w:hint="eastAsia"/>
        </w:rPr>
        <w:t>（2）投标文件中填报的工程量清单报价书中的分项分部工程的项目名称、项目特征或计量单位及工程量与采购人提供的工程量清单不一致以致影响评标结果的。</w:t>
      </w:r>
    </w:p>
    <w:p>
      <w:pPr>
        <w:pStyle w:val="29"/>
        <w:wordWrap w:val="0"/>
        <w:snapToGrid w:val="0"/>
        <w:spacing w:line="360" w:lineRule="auto"/>
        <w:ind w:firstLine="480" w:firstLineChars="200"/>
        <w:rPr>
          <w:rFonts w:hint="eastAsia"/>
        </w:rPr>
      </w:pPr>
      <w:r>
        <w:rPr>
          <w:rFonts w:hint="eastAsia"/>
        </w:rPr>
        <w:t>（3）投标人在需评审的主要材料和设备中报价为0，或改变评审表报价顺序造成难以进行数据比对而无法评标的。</w:t>
      </w:r>
    </w:p>
    <w:p>
      <w:pPr>
        <w:pStyle w:val="29"/>
        <w:wordWrap w:val="0"/>
        <w:snapToGrid w:val="0"/>
        <w:spacing w:line="360" w:lineRule="auto"/>
        <w:ind w:firstLine="480" w:firstLineChars="200"/>
        <w:rPr>
          <w:rFonts w:hint="eastAsia"/>
        </w:rPr>
      </w:pPr>
      <w:r>
        <w:rPr>
          <w:rFonts w:hint="eastAsia"/>
        </w:rPr>
        <w:t>（4）管理费、利润低于零进行报价的。</w:t>
      </w:r>
    </w:p>
    <w:p>
      <w:pPr>
        <w:pStyle w:val="29"/>
        <w:wordWrap w:val="0"/>
        <w:snapToGrid w:val="0"/>
        <w:spacing w:line="360" w:lineRule="auto"/>
        <w:ind w:firstLine="480" w:firstLineChars="200"/>
        <w:rPr>
          <w:rFonts w:hint="eastAsia"/>
        </w:rPr>
      </w:pPr>
      <w:r>
        <w:rPr>
          <w:rFonts w:hint="eastAsia"/>
        </w:rPr>
        <w:t>（5）评标委员会认为投标人的报价明显低于其他投标人的报价，有可能影响工程质量或者不能诚信履约的，将要求其在规定的时间内（具体时间由评标委员会）提供书面说明，必要时提交相关证明材料，评标委员会认定其报价低于成本的将否决其投标，未在规定时间递交说明或证明材料的投标也将被否决。</w:t>
      </w:r>
    </w:p>
    <w:p>
      <w:pPr>
        <w:pStyle w:val="29"/>
        <w:wordWrap w:val="0"/>
        <w:adjustRightInd/>
        <w:snapToGrid w:val="0"/>
        <w:spacing w:line="360" w:lineRule="auto"/>
        <w:ind w:firstLine="480" w:firstLineChars="200"/>
        <w:jc w:val="both"/>
        <w:rPr>
          <w:rFonts w:hint="eastAsia"/>
        </w:rPr>
      </w:pPr>
      <w:r>
        <w:rPr>
          <w:rFonts w:hint="eastAsia"/>
        </w:rPr>
        <w:t>（6）有关法律、法规规定的其它废标条件。</w:t>
      </w:r>
    </w:p>
    <w:p>
      <w:pPr>
        <w:pStyle w:val="29"/>
        <w:wordWrap w:val="0"/>
        <w:adjustRightInd/>
        <w:snapToGrid w:val="0"/>
        <w:spacing w:line="360" w:lineRule="auto"/>
        <w:ind w:firstLine="480" w:firstLineChars="200"/>
        <w:jc w:val="both"/>
        <w:rPr>
          <w:rFonts w:hint="eastAsia"/>
        </w:rPr>
      </w:pPr>
      <w:r>
        <w:rPr>
          <w:rFonts w:hint="eastAsia"/>
        </w:rPr>
        <w:t>35.3.5、不符合法律法规及谈判文件中其它合格性评审要求。</w:t>
      </w:r>
    </w:p>
    <w:p>
      <w:pPr>
        <w:pStyle w:val="28"/>
        <w:snapToGrid w:val="0"/>
        <w:spacing w:line="360" w:lineRule="auto"/>
        <w:rPr>
          <w:rFonts w:hint="eastAsia" w:ascii="宋体" w:hAnsi="宋体" w:cs="宋体"/>
          <w:b/>
          <w:sz w:val="24"/>
          <w:szCs w:val="24"/>
        </w:rPr>
      </w:pPr>
      <w:bookmarkStart w:id="15" w:name="_Toc385492630"/>
      <w:r>
        <w:rPr>
          <w:rFonts w:hint="eastAsia" w:ascii="宋体" w:hAnsi="宋体" w:cs="宋体"/>
          <w:b/>
          <w:sz w:val="24"/>
          <w:szCs w:val="24"/>
        </w:rPr>
        <w:t>（十）合同的签订、履行及验收</w:t>
      </w:r>
      <w:bookmarkEnd w:id="15"/>
    </w:p>
    <w:p>
      <w:pPr>
        <w:pStyle w:val="29"/>
        <w:wordWrap w:val="0"/>
        <w:adjustRightInd/>
        <w:snapToGrid w:val="0"/>
        <w:spacing w:line="360" w:lineRule="auto"/>
        <w:ind w:firstLine="480" w:firstLineChars="200"/>
        <w:jc w:val="both"/>
        <w:rPr>
          <w:rFonts w:hint="eastAsia"/>
          <w:b/>
        </w:rPr>
      </w:pPr>
      <w:r>
        <w:rPr>
          <w:rFonts w:hint="eastAsia"/>
          <w:b/>
        </w:rPr>
        <w:t>33、合同授予标准：</w:t>
      </w:r>
    </w:p>
    <w:p>
      <w:pPr>
        <w:pStyle w:val="29"/>
        <w:wordWrap w:val="0"/>
        <w:adjustRightInd/>
        <w:snapToGrid w:val="0"/>
        <w:spacing w:line="360" w:lineRule="auto"/>
        <w:ind w:firstLine="480" w:firstLineChars="200"/>
        <w:jc w:val="both"/>
        <w:rPr>
          <w:rFonts w:hint="eastAsia"/>
        </w:rPr>
      </w:pPr>
      <w:r>
        <w:rPr>
          <w:rFonts w:hint="eastAsia"/>
        </w:rPr>
        <w:t>本项目合同将授予中标人。</w:t>
      </w:r>
    </w:p>
    <w:p>
      <w:pPr>
        <w:pStyle w:val="29"/>
        <w:wordWrap w:val="0"/>
        <w:adjustRightInd/>
        <w:snapToGrid w:val="0"/>
        <w:spacing w:line="360" w:lineRule="auto"/>
        <w:ind w:firstLine="480" w:firstLineChars="200"/>
        <w:jc w:val="both"/>
        <w:rPr>
          <w:rFonts w:hint="eastAsia"/>
          <w:b/>
        </w:rPr>
      </w:pPr>
      <w:r>
        <w:rPr>
          <w:rFonts w:hint="eastAsia"/>
          <w:b/>
        </w:rPr>
        <w:t>34、采购人拒绝投标的权力</w:t>
      </w:r>
    </w:p>
    <w:p>
      <w:pPr>
        <w:pStyle w:val="29"/>
        <w:wordWrap w:val="0"/>
        <w:adjustRightInd/>
        <w:snapToGrid w:val="0"/>
        <w:spacing w:line="360" w:lineRule="auto"/>
        <w:ind w:firstLine="480" w:firstLineChars="200"/>
        <w:jc w:val="both"/>
        <w:rPr>
          <w:rFonts w:hint="eastAsia"/>
        </w:rPr>
      </w:pPr>
      <w:r>
        <w:rPr>
          <w:rFonts w:hint="eastAsia"/>
        </w:rPr>
        <w:t>采购人不承诺将合同授予报价最低的供应商。采购人在发出中标（成交）通知书前，有权依据评标委员会的评标报告拒绝不合格的投标。</w:t>
      </w:r>
    </w:p>
    <w:p>
      <w:pPr>
        <w:pStyle w:val="29"/>
        <w:wordWrap w:val="0"/>
        <w:adjustRightInd/>
        <w:snapToGrid w:val="0"/>
        <w:spacing w:line="360" w:lineRule="auto"/>
        <w:ind w:firstLine="480" w:firstLineChars="200"/>
        <w:jc w:val="both"/>
        <w:rPr>
          <w:rFonts w:hint="eastAsia"/>
        </w:rPr>
      </w:pPr>
      <w:r>
        <w:rPr>
          <w:rFonts w:hint="eastAsia"/>
          <w:b/>
        </w:rPr>
        <w:t>35、合同协议书的签订</w:t>
      </w:r>
    </w:p>
    <w:p>
      <w:pPr>
        <w:pStyle w:val="29"/>
        <w:wordWrap w:val="0"/>
        <w:adjustRightInd/>
        <w:snapToGrid w:val="0"/>
        <w:spacing w:line="360" w:lineRule="auto"/>
        <w:ind w:firstLine="480" w:firstLineChars="200"/>
        <w:jc w:val="both"/>
        <w:rPr>
          <w:rFonts w:hint="eastAsia"/>
        </w:rPr>
      </w:pPr>
      <w:r>
        <w:rPr>
          <w:rFonts w:hint="eastAsia"/>
          <w:b/>
        </w:rPr>
        <w:t>35.1</w:t>
      </w:r>
      <w:r>
        <w:rPr>
          <w:rFonts w:hint="eastAsia"/>
        </w:rPr>
        <w:t>中标人应在中标（成交）通知书发出之日起三十日内（具体时间、地点见中标（成交）通知书）与采购人签订合同。采购人应按照谈判文件和中标人的谈判响应文件与中标人签订采购合同，采购人不得向中标人提出任何不合理的要求，作为签订合同的条件，不得与中标人私下订立背离合同实质性内容的任何协议，所签订的合同不得对谈判文件和中标人谈判响应文件作实质性修改。</w:t>
      </w:r>
    </w:p>
    <w:p>
      <w:pPr>
        <w:pStyle w:val="29"/>
        <w:wordWrap w:val="0"/>
        <w:adjustRightInd/>
        <w:snapToGrid w:val="0"/>
        <w:spacing w:line="360" w:lineRule="auto"/>
        <w:ind w:firstLine="480" w:firstLineChars="200"/>
        <w:jc w:val="both"/>
        <w:rPr>
          <w:rFonts w:hint="eastAsia"/>
        </w:rPr>
      </w:pPr>
      <w:r>
        <w:rPr>
          <w:rFonts w:hint="eastAsia"/>
          <w:b/>
        </w:rPr>
        <w:t>35.2</w:t>
      </w:r>
      <w:r>
        <w:rPr>
          <w:rFonts w:hint="eastAsia"/>
        </w:rPr>
        <w:t>中标人如不按本谈判文件规定与采购人订立合同，则采购人将废除授标，有投标担保的将不予退还，给采购人造成的损失超过投标担保数额的，还应当对超过部分予以赔偿，同时依法承担相应法律责任。</w:t>
      </w:r>
    </w:p>
    <w:p>
      <w:pPr>
        <w:pStyle w:val="29"/>
        <w:wordWrap w:val="0"/>
        <w:adjustRightInd/>
        <w:snapToGrid w:val="0"/>
        <w:spacing w:line="360" w:lineRule="auto"/>
        <w:ind w:firstLine="480" w:firstLineChars="200"/>
        <w:jc w:val="both"/>
        <w:rPr>
          <w:rFonts w:hint="eastAsia"/>
        </w:rPr>
      </w:pPr>
      <w:r>
        <w:rPr>
          <w:rFonts w:hint="eastAsia"/>
          <w:b/>
        </w:rPr>
        <w:t>35.3</w:t>
      </w:r>
      <w:r>
        <w:rPr>
          <w:rFonts w:hint="eastAsia"/>
        </w:rPr>
        <w:t>中标人应当按照合同约定履行义务，完成中标项目，不得将中标项目转让（转包）给他人。</w:t>
      </w:r>
    </w:p>
    <w:p>
      <w:pPr>
        <w:pStyle w:val="29"/>
        <w:wordWrap w:val="0"/>
        <w:adjustRightInd/>
        <w:snapToGrid w:val="0"/>
        <w:spacing w:line="360" w:lineRule="auto"/>
        <w:ind w:firstLine="480" w:firstLineChars="200"/>
        <w:jc w:val="both"/>
        <w:rPr>
          <w:rFonts w:hint="eastAsia"/>
        </w:rPr>
      </w:pPr>
      <w:r>
        <w:rPr>
          <w:rFonts w:hint="eastAsia"/>
        </w:rPr>
        <w:t>35.4 采购双方必须严格按照谈判文件、谈判响应文件及有关承诺签订采购合同，不得擅自变更。合同的标的、价款、质量、履行期限、服务要求等主要条款应当与谈判文件和中标人的谈判响应文件的内容一致，采购人和中标人不得再行订立背离合同实质性内容的其他协议。对任何因双方擅自变更合同引起的问题中心概不负责，合同风险由双方自行承担。</w:t>
      </w:r>
    </w:p>
    <w:p>
      <w:pPr>
        <w:pStyle w:val="29"/>
        <w:wordWrap w:val="0"/>
        <w:adjustRightInd/>
        <w:snapToGrid w:val="0"/>
        <w:spacing w:line="360" w:lineRule="auto"/>
        <w:ind w:firstLine="480" w:firstLineChars="200"/>
        <w:jc w:val="both"/>
        <w:rPr>
          <w:rFonts w:hint="eastAsia"/>
        </w:rPr>
      </w:pPr>
      <w:r>
        <w:rPr>
          <w:rFonts w:hint="eastAsia"/>
        </w:rPr>
        <w:t>35.5采购人保留以书面形式要求对服务细则作适当调整的权利。</w:t>
      </w:r>
    </w:p>
    <w:p>
      <w:pPr>
        <w:pStyle w:val="29"/>
        <w:wordWrap w:val="0"/>
        <w:adjustRightInd/>
        <w:snapToGrid w:val="0"/>
        <w:spacing w:line="360" w:lineRule="auto"/>
        <w:ind w:firstLine="480" w:firstLineChars="200"/>
        <w:jc w:val="both"/>
        <w:rPr>
          <w:rFonts w:hint="eastAsia"/>
        </w:rPr>
      </w:pPr>
      <w:r>
        <w:rPr>
          <w:rFonts w:hint="eastAsia"/>
        </w:rPr>
        <w:t>36、履行合同</w:t>
      </w:r>
    </w:p>
    <w:p>
      <w:pPr>
        <w:pStyle w:val="29"/>
        <w:wordWrap w:val="0"/>
        <w:adjustRightInd/>
        <w:snapToGrid w:val="0"/>
        <w:spacing w:line="360" w:lineRule="auto"/>
        <w:ind w:firstLine="480" w:firstLineChars="200"/>
        <w:jc w:val="both"/>
        <w:rPr>
          <w:rFonts w:hint="eastAsia"/>
        </w:rPr>
      </w:pPr>
      <w:r>
        <w:rPr>
          <w:rFonts w:hint="eastAsia"/>
        </w:rPr>
        <w:t>36.1中标人与采购人签订合同后，合同双方应严格执行合同条款，履行合同规定的义务，保证合同的顺利完成。</w:t>
      </w:r>
    </w:p>
    <w:p>
      <w:pPr>
        <w:pStyle w:val="29"/>
        <w:wordWrap w:val="0"/>
        <w:adjustRightInd/>
        <w:snapToGrid w:val="0"/>
        <w:spacing w:line="360" w:lineRule="auto"/>
        <w:ind w:firstLine="480" w:firstLineChars="200"/>
        <w:jc w:val="both"/>
        <w:rPr>
          <w:rFonts w:hint="eastAsia"/>
        </w:rPr>
      </w:pPr>
      <w:r>
        <w:rPr>
          <w:rFonts w:hint="eastAsia"/>
          <w:bCs/>
        </w:rPr>
        <w:t>36.2</w:t>
      </w:r>
      <w:r>
        <w:rPr>
          <w:rFonts w:hint="eastAsia"/>
        </w:rPr>
        <w:t>在合同履行过程中，如发生合同纠纷，合同双方应按照《民法典》的有关规定进行处理。</w:t>
      </w:r>
    </w:p>
    <w:p>
      <w:pPr>
        <w:snapToGrid w:val="0"/>
        <w:spacing w:line="360" w:lineRule="auto"/>
        <w:ind w:firstLine="549"/>
        <w:rPr>
          <w:rFonts w:hint="eastAsia" w:ascii="宋体" w:hAnsi="宋体" w:cs="宋体"/>
          <w:kern w:val="0"/>
          <w:sz w:val="24"/>
        </w:rPr>
      </w:pPr>
      <w:r>
        <w:rPr>
          <w:rFonts w:hint="eastAsia" w:ascii="宋体" w:hAnsi="宋体" w:cs="宋体"/>
          <w:kern w:val="0"/>
          <w:sz w:val="24"/>
        </w:rPr>
        <w:t>37、考核与验收</w:t>
      </w:r>
    </w:p>
    <w:p>
      <w:pPr>
        <w:snapToGrid w:val="0"/>
        <w:spacing w:line="360" w:lineRule="auto"/>
        <w:ind w:firstLine="549"/>
        <w:rPr>
          <w:rFonts w:hint="eastAsia" w:ascii="宋体" w:hAnsi="宋体" w:cs="宋体"/>
          <w:kern w:val="0"/>
          <w:sz w:val="24"/>
        </w:rPr>
      </w:pPr>
      <w:r>
        <w:rPr>
          <w:rFonts w:hint="eastAsia" w:ascii="宋体" w:hAnsi="宋体" w:cs="宋体"/>
          <w:kern w:val="0"/>
          <w:sz w:val="24"/>
        </w:rPr>
        <w:t>37．1采购人须建立日常考核制度。考核时应成立三人以上（由合同双方、专业人员等相关人员组成），依据考核方案进行考核。</w:t>
      </w:r>
    </w:p>
    <w:p>
      <w:pPr>
        <w:snapToGrid w:val="0"/>
        <w:spacing w:line="360" w:lineRule="auto"/>
        <w:ind w:firstLine="549"/>
        <w:rPr>
          <w:rFonts w:hint="eastAsia" w:ascii="宋体" w:hAnsi="宋体" w:cs="宋体"/>
          <w:kern w:val="0"/>
          <w:sz w:val="24"/>
        </w:rPr>
      </w:pPr>
      <w:r>
        <w:rPr>
          <w:rFonts w:hint="eastAsia" w:ascii="宋体" w:hAnsi="宋体" w:cs="宋体"/>
          <w:kern w:val="0"/>
          <w:sz w:val="24"/>
        </w:rPr>
        <w:t>37.2采购人验收时，应成立三人以上（由建设单位、施工单位、设计单位或相关主管部门组成）验收小组，明确责任，严格依照谈判文件、中标（成交）通知书、政府采购合同（施工合同）及相关验收规范进行核对、验收，形成结论，并出具书面验收报告。</w:t>
      </w:r>
    </w:p>
    <w:p>
      <w:pPr>
        <w:snapToGrid w:val="0"/>
        <w:spacing w:line="360" w:lineRule="auto"/>
        <w:ind w:firstLine="549"/>
        <w:rPr>
          <w:rFonts w:hint="eastAsia" w:ascii="宋体" w:hAnsi="宋体" w:cs="宋体"/>
          <w:kern w:val="0"/>
          <w:sz w:val="24"/>
        </w:rPr>
      </w:pPr>
      <w:r>
        <w:rPr>
          <w:rFonts w:hint="eastAsia" w:ascii="宋体" w:hAnsi="宋体" w:cs="宋体"/>
          <w:kern w:val="0"/>
          <w:sz w:val="24"/>
        </w:rPr>
        <w:t>37.3涉及安全等其他需要由行业主管部门进行验收的项目，必须邀请相关部门参与验收。</w:t>
      </w:r>
    </w:p>
    <w:p>
      <w:pPr>
        <w:snapToGrid w:val="0"/>
        <w:spacing w:line="360" w:lineRule="auto"/>
        <w:ind w:firstLine="549"/>
        <w:rPr>
          <w:rFonts w:hint="eastAsia" w:ascii="宋体" w:hAnsi="宋体" w:cs="宋体"/>
          <w:kern w:val="0"/>
          <w:sz w:val="24"/>
        </w:rPr>
      </w:pPr>
      <w:r>
        <w:rPr>
          <w:rFonts w:hint="eastAsia" w:ascii="宋体" w:hAnsi="宋体" w:cs="宋体"/>
          <w:kern w:val="0"/>
          <w:sz w:val="24"/>
        </w:rPr>
        <w:t>37.4验收费用均由合同乙方（中标人）承担，采购文件中另有约定的除外。</w:t>
      </w:r>
    </w:p>
    <w:p>
      <w:pPr>
        <w:pStyle w:val="29"/>
        <w:wordWrap w:val="0"/>
        <w:adjustRightInd/>
        <w:snapToGrid w:val="0"/>
        <w:spacing w:line="360" w:lineRule="auto"/>
        <w:jc w:val="both"/>
        <w:rPr>
          <w:rFonts w:hint="eastAsia"/>
          <w:b/>
        </w:rPr>
      </w:pPr>
    </w:p>
    <w:p>
      <w:pPr>
        <w:pStyle w:val="29"/>
        <w:adjustRightInd/>
        <w:snapToGrid w:val="0"/>
        <w:spacing w:line="360" w:lineRule="auto"/>
        <w:jc w:val="both"/>
        <w:rPr>
          <w:rFonts w:hint="eastAsia"/>
          <w:b/>
        </w:rPr>
      </w:pPr>
    </w:p>
    <w:p>
      <w:pPr>
        <w:pStyle w:val="29"/>
        <w:adjustRightInd/>
        <w:snapToGrid w:val="0"/>
        <w:spacing w:line="360" w:lineRule="auto"/>
        <w:jc w:val="center"/>
        <w:rPr>
          <w:rFonts w:hint="eastAsia"/>
          <w:b/>
        </w:rPr>
      </w:pPr>
      <w:r>
        <w:rPr>
          <w:rFonts w:hint="eastAsia"/>
          <w:b/>
        </w:rPr>
        <w:t>（十一）质疑和投诉</w:t>
      </w:r>
    </w:p>
    <w:p>
      <w:pPr>
        <w:pStyle w:val="44"/>
        <w:snapToGrid w:val="0"/>
        <w:spacing w:line="360" w:lineRule="auto"/>
        <w:ind w:firstLine="600" w:firstLineChars="250"/>
        <w:rPr>
          <w:rFonts w:hint="eastAsia"/>
          <w:b/>
        </w:rPr>
      </w:pPr>
      <w:r>
        <w:rPr>
          <w:rFonts w:hint="eastAsia"/>
          <w:b/>
        </w:rPr>
        <w:t>供应商应在法定质疑期内一次性提出针对同一采购程序环节的质疑。提出质疑的供应商应当是参与所质疑项目采购活动的供应商。</w:t>
      </w:r>
    </w:p>
    <w:p>
      <w:pPr>
        <w:pStyle w:val="44"/>
        <w:snapToGrid w:val="0"/>
        <w:spacing w:line="360" w:lineRule="auto"/>
        <w:ind w:firstLine="600" w:firstLineChars="250"/>
        <w:rPr>
          <w:rFonts w:hint="eastAsia"/>
          <w:b/>
        </w:rPr>
      </w:pPr>
      <w:r>
        <w:rPr>
          <w:rFonts w:hint="eastAsia"/>
          <w:b/>
        </w:rPr>
        <w:t>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pPr>
        <w:pStyle w:val="29"/>
        <w:wordWrap w:val="0"/>
        <w:adjustRightInd/>
        <w:snapToGrid w:val="0"/>
        <w:spacing w:line="360" w:lineRule="auto"/>
        <w:ind w:firstLine="480" w:firstLineChars="200"/>
        <w:jc w:val="both"/>
        <w:rPr>
          <w:rFonts w:hint="eastAsia"/>
          <w:b/>
        </w:rPr>
      </w:pPr>
      <w:r>
        <w:rPr>
          <w:rFonts w:hint="eastAsia"/>
          <w:b/>
        </w:rPr>
        <w:t>投标人如对本谈判文件有任何疑问或澄清要求，应在知其权益受到损害之日起七个工作日内提出。否则视同投标人对文件理解和接受。</w:t>
      </w:r>
    </w:p>
    <w:p>
      <w:pPr>
        <w:pStyle w:val="29"/>
        <w:wordWrap w:val="0"/>
        <w:adjustRightInd/>
        <w:snapToGrid w:val="0"/>
        <w:spacing w:line="360" w:lineRule="auto"/>
        <w:ind w:firstLine="480" w:firstLineChars="200"/>
        <w:jc w:val="both"/>
        <w:rPr>
          <w:rFonts w:hint="eastAsia"/>
          <w:b/>
        </w:rPr>
      </w:pPr>
      <w:r>
        <w:rPr>
          <w:rFonts w:hint="eastAsia"/>
          <w:b/>
        </w:rPr>
        <w:t>投标人对成交公告有异议的，应在成交公告期限届满之日起七个工作日前提出。</w:t>
      </w:r>
    </w:p>
    <w:p>
      <w:pPr>
        <w:pStyle w:val="29"/>
        <w:wordWrap w:val="0"/>
        <w:adjustRightInd/>
        <w:snapToGrid w:val="0"/>
        <w:spacing w:line="360" w:lineRule="auto"/>
        <w:ind w:firstLine="480" w:firstLineChars="200"/>
        <w:jc w:val="both"/>
        <w:rPr>
          <w:rFonts w:hint="eastAsia"/>
          <w:b/>
        </w:rPr>
      </w:pPr>
      <w:r>
        <w:rPr>
          <w:rFonts w:hint="eastAsia"/>
          <w:b/>
        </w:rPr>
        <w:t>关于谈判文件中非通用条款部分方面及评标结果的质疑向采购人提出，采购人在七个工作日内作出答复。关于谈判文件通用条款部分以及采购程序方面的质疑向代理机构提出，由代理机构作出答复。质疑投标人对答复内容不满意的或受理单位未在规定时间内作出答复的，可在答复期满后十五个工作日内向监督管理部门提出投诉。相关联系人及联系方式根据质疑提出阶段的不同分别见</w:t>
      </w:r>
      <w:r>
        <w:rPr>
          <w:rFonts w:hint="eastAsia"/>
          <w:b/>
          <w:lang w:eastAsia="zh-CN"/>
        </w:rPr>
        <w:t>谈判</w:t>
      </w:r>
      <w:r>
        <w:rPr>
          <w:rFonts w:hint="eastAsia"/>
          <w:b/>
        </w:rPr>
        <w:t>公告和成交公告。</w:t>
      </w:r>
    </w:p>
    <w:p>
      <w:pPr>
        <w:rPr>
          <w:rFonts w:hint="eastAsia" w:ascii="宋体" w:hAnsi="宋体"/>
          <w:b/>
          <w:sz w:val="24"/>
          <w:szCs w:val="24"/>
          <w:highlight w:val="none"/>
        </w:rPr>
      </w:pPr>
      <w:r>
        <w:rPr>
          <w:rFonts w:hint="eastAsia" w:ascii="宋体" w:hAnsi="宋体"/>
          <w:b/>
          <w:sz w:val="24"/>
          <w:szCs w:val="24"/>
          <w:highlight w:val="none"/>
        </w:rPr>
        <w:br w:type="page"/>
      </w:r>
    </w:p>
    <w:p>
      <w:pPr>
        <w:pStyle w:val="28"/>
        <w:rPr>
          <w:rFonts w:hint="eastAsia" w:eastAsia="宋体"/>
          <w:b/>
          <w:highlight w:val="none"/>
        </w:rPr>
      </w:pPr>
      <w:r>
        <w:rPr>
          <w:rFonts w:hint="eastAsia" w:eastAsia="宋体"/>
          <w:b/>
          <w:highlight w:val="none"/>
          <w:lang w:eastAsia="zh-CN"/>
        </w:rPr>
        <w:t>三、</w:t>
      </w:r>
      <w:r>
        <w:rPr>
          <w:rFonts w:hint="eastAsia" w:eastAsia="宋体"/>
          <w:b/>
          <w:highlight w:val="none"/>
        </w:rPr>
        <w:t>项目需求</w:t>
      </w:r>
    </w:p>
    <w:p>
      <w:pPr>
        <w:pStyle w:val="28"/>
        <w:spacing w:line="460" w:lineRule="exact"/>
        <w:ind w:firstLine="3360" w:firstLineChars="1400"/>
        <w:jc w:val="both"/>
        <w:rPr>
          <w:rFonts w:ascii="宋体" w:hAnsi="宋体"/>
          <w:b w:val="0"/>
          <w:bCs/>
          <w:sz w:val="24"/>
          <w:szCs w:val="24"/>
          <w:highlight w:val="none"/>
        </w:rPr>
      </w:pPr>
    </w:p>
    <w:p>
      <w:pPr>
        <w:spacing w:line="360" w:lineRule="auto"/>
        <w:ind w:left="482" w:hanging="482"/>
        <w:textAlignment w:val="baseline"/>
        <w:rPr>
          <w:rFonts w:hint="eastAsia" w:ascii="宋体" w:hAnsi="宋体" w:eastAsia="宋体" w:cs="Times New Roman"/>
          <w:b/>
          <w:bCs w:val="0"/>
          <w:kern w:val="0"/>
          <w:sz w:val="24"/>
          <w:szCs w:val="24"/>
          <w:highlight w:val="none"/>
          <w:lang w:val="en-US" w:eastAsia="zh-CN" w:bidi="ar-SA"/>
        </w:rPr>
      </w:pPr>
      <w:bookmarkStart w:id="16" w:name="_Toc383776351"/>
      <w:r>
        <w:rPr>
          <w:rFonts w:hint="eastAsia" w:ascii="宋体" w:hAnsi="宋体" w:eastAsia="宋体" w:cs="Times New Roman"/>
          <w:b/>
          <w:bCs w:val="0"/>
          <w:kern w:val="0"/>
          <w:sz w:val="24"/>
          <w:szCs w:val="24"/>
          <w:highlight w:val="none"/>
          <w:lang w:val="en-US" w:eastAsia="zh-CN" w:bidi="ar-SA"/>
        </w:rPr>
        <w:t>一、</w:t>
      </w:r>
      <w:r>
        <w:rPr>
          <w:rFonts w:hint="eastAsia" w:ascii="宋体" w:hAnsi="宋体" w:eastAsia="宋体" w:cs="Times New Roman"/>
          <w:b/>
          <w:bCs w:val="0"/>
          <w:kern w:val="0"/>
          <w:sz w:val="24"/>
          <w:szCs w:val="24"/>
          <w:highlight w:val="none"/>
          <w:lang w:val="en-US" w:eastAsia="zh-CN" w:bidi="ar-SA"/>
        </w:rPr>
        <w:tab/>
      </w:r>
      <w:r>
        <w:rPr>
          <w:rFonts w:hint="eastAsia" w:ascii="宋体" w:hAnsi="宋体" w:eastAsia="宋体" w:cs="Times New Roman"/>
          <w:b/>
          <w:bCs w:val="0"/>
          <w:kern w:val="0"/>
          <w:sz w:val="24"/>
          <w:szCs w:val="24"/>
          <w:highlight w:val="none"/>
          <w:lang w:val="en-US" w:eastAsia="zh-CN" w:bidi="ar-SA"/>
        </w:rPr>
        <w:t>项目概况</w:t>
      </w:r>
    </w:p>
    <w:p>
      <w:pPr>
        <w:widowControl/>
        <w:shd w:val="clear" w:color="auto" w:fill="FFFFFF"/>
        <w:snapToGrid w:val="0"/>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（1）项目名称：郊区人民法院专网与互联网安全建设项目</w:t>
      </w:r>
    </w:p>
    <w:p>
      <w:pPr>
        <w:widowControl/>
        <w:shd w:val="clear" w:color="auto" w:fill="FFFFFF"/>
        <w:snapToGrid w:val="0"/>
        <w:spacing w:line="360" w:lineRule="auto"/>
        <w:ind w:firstLine="480" w:firstLineChars="200"/>
        <w:jc w:val="left"/>
        <w:rPr>
          <w:rFonts w:hint="eastAsia" w:ascii="宋体" w:hAnsi="宋体"/>
          <w:kern w:val="0"/>
          <w:sz w:val="24"/>
          <w:highlight w:val="none"/>
        </w:rPr>
      </w:pPr>
      <w:r>
        <w:rPr>
          <w:rFonts w:hint="eastAsia" w:ascii="宋体" w:hAnsi="宋体"/>
          <w:kern w:val="0"/>
          <w:sz w:val="24"/>
          <w:highlight w:val="none"/>
        </w:rPr>
        <w:t>（2）实施地点：铜陵市郊区</w:t>
      </w:r>
    </w:p>
    <w:p>
      <w:pPr>
        <w:widowControl/>
        <w:shd w:val="clear" w:color="auto" w:fill="FFFFFF"/>
        <w:snapToGrid w:val="0"/>
        <w:spacing w:line="360" w:lineRule="auto"/>
        <w:ind w:firstLine="480" w:firstLineChars="200"/>
        <w:jc w:val="left"/>
        <w:rPr>
          <w:rFonts w:hint="eastAsia" w:ascii="宋体" w:hAnsi="宋体"/>
          <w:kern w:val="0"/>
          <w:sz w:val="24"/>
          <w:highlight w:val="none"/>
        </w:rPr>
      </w:pPr>
      <w:r>
        <w:rPr>
          <w:rFonts w:hint="eastAsia" w:ascii="宋体" w:hAnsi="宋体"/>
          <w:kern w:val="0"/>
          <w:sz w:val="24"/>
          <w:highlight w:val="none"/>
        </w:rPr>
        <w:t>（3）项目预算：</w:t>
      </w:r>
      <w:r>
        <w:rPr>
          <w:rFonts w:hint="eastAsia" w:ascii="宋体" w:hAnsi="宋体"/>
          <w:kern w:val="0"/>
          <w:sz w:val="24"/>
          <w:highlight w:val="none"/>
          <w:lang w:eastAsia="zh-CN"/>
        </w:rPr>
        <w:t>399684.01元</w:t>
      </w:r>
      <w:r>
        <w:rPr>
          <w:rFonts w:hint="eastAsia" w:ascii="宋体" w:hAnsi="宋体"/>
          <w:kern w:val="0"/>
          <w:sz w:val="24"/>
          <w:highlight w:val="none"/>
        </w:rPr>
        <w:t>人民币。</w:t>
      </w:r>
    </w:p>
    <w:p>
      <w:pPr>
        <w:widowControl/>
        <w:shd w:val="clear" w:color="auto" w:fill="FFFFFF"/>
        <w:snapToGrid w:val="0"/>
        <w:spacing w:line="360" w:lineRule="auto"/>
        <w:ind w:firstLine="480" w:firstLineChars="200"/>
        <w:jc w:val="left"/>
        <w:rPr>
          <w:rFonts w:hint="eastAsia" w:ascii="宋体" w:hAnsi="宋体"/>
          <w:kern w:val="0"/>
          <w:sz w:val="24"/>
          <w:highlight w:val="none"/>
        </w:rPr>
      </w:pPr>
      <w:r>
        <w:rPr>
          <w:rFonts w:hint="eastAsia" w:ascii="宋体" w:hAnsi="宋体"/>
          <w:kern w:val="0"/>
          <w:sz w:val="24"/>
          <w:highlight w:val="none"/>
        </w:rPr>
        <w:t>（4）工期：</w:t>
      </w:r>
      <w:r>
        <w:rPr>
          <w:rFonts w:hint="eastAsia" w:ascii="宋体" w:hAnsi="宋体"/>
          <w:kern w:val="0"/>
          <w:sz w:val="24"/>
          <w:highlight w:val="none"/>
          <w:lang w:val="zh-CN"/>
        </w:rPr>
        <w:t>合同签订之日起</w:t>
      </w:r>
      <w:r>
        <w:rPr>
          <w:rFonts w:hint="eastAsia" w:ascii="宋体" w:hAnsi="宋体"/>
          <w:kern w:val="0"/>
          <w:sz w:val="24"/>
          <w:highlight w:val="none"/>
        </w:rPr>
        <w:t>45</w:t>
      </w:r>
      <w:r>
        <w:rPr>
          <w:rFonts w:hint="eastAsia" w:ascii="宋体" w:hAnsi="宋体"/>
          <w:kern w:val="0"/>
          <w:sz w:val="24"/>
          <w:highlight w:val="none"/>
          <w:lang w:val="zh-CN"/>
        </w:rPr>
        <w:t>日。</w:t>
      </w:r>
    </w:p>
    <w:p>
      <w:pPr>
        <w:widowControl/>
        <w:shd w:val="clear" w:color="auto" w:fill="FFFFFF"/>
        <w:snapToGrid w:val="0"/>
        <w:spacing w:line="360" w:lineRule="auto"/>
        <w:ind w:firstLine="480" w:firstLineChars="200"/>
        <w:jc w:val="left"/>
        <w:rPr>
          <w:rFonts w:hint="eastAsia" w:ascii="宋体" w:hAnsi="宋体"/>
          <w:kern w:val="0"/>
          <w:sz w:val="24"/>
          <w:highlight w:val="none"/>
        </w:rPr>
      </w:pPr>
      <w:r>
        <w:rPr>
          <w:rFonts w:hint="eastAsia" w:ascii="宋体" w:hAnsi="宋体"/>
          <w:kern w:val="0"/>
          <w:sz w:val="24"/>
          <w:highlight w:val="none"/>
        </w:rPr>
        <w:t>（5）采购范围：详见工程量清单（另附）</w:t>
      </w:r>
    </w:p>
    <w:p>
      <w:pPr>
        <w:widowControl/>
        <w:shd w:val="clear" w:color="auto" w:fill="FFFFFF"/>
        <w:snapToGrid w:val="0"/>
        <w:spacing w:line="360" w:lineRule="auto"/>
        <w:ind w:firstLine="480" w:firstLineChars="200"/>
        <w:jc w:val="left"/>
        <w:rPr>
          <w:rFonts w:hint="eastAsia" w:ascii="宋体" w:hAnsi="宋体"/>
          <w:kern w:val="0"/>
          <w:sz w:val="24"/>
          <w:highlight w:val="none"/>
        </w:rPr>
      </w:pPr>
    </w:p>
    <w:p>
      <w:pPr>
        <w:spacing w:line="360" w:lineRule="auto"/>
        <w:ind w:left="482" w:hanging="482"/>
        <w:textAlignment w:val="baseline"/>
        <w:rPr>
          <w:rFonts w:hint="eastAsia" w:ascii="宋体" w:hAnsi="宋体" w:eastAsia="宋体" w:cs="Times New Roman"/>
          <w:b/>
          <w:bCs/>
          <w:kern w:val="0"/>
          <w:sz w:val="24"/>
          <w:szCs w:val="24"/>
          <w:highlight w:val="none"/>
          <w:lang w:val="en-US" w:eastAsia="zh-CN" w:bidi="ar-SA"/>
        </w:rPr>
      </w:pPr>
      <w:r>
        <w:rPr>
          <w:rFonts w:hint="eastAsia" w:ascii="宋体" w:hAnsi="宋体" w:eastAsia="宋体" w:cs="Times New Roman"/>
          <w:b/>
          <w:bCs/>
          <w:kern w:val="0"/>
          <w:sz w:val="24"/>
          <w:szCs w:val="24"/>
          <w:highlight w:val="none"/>
          <w:lang w:val="en-US" w:eastAsia="zh-CN" w:bidi="ar-SA"/>
        </w:rPr>
        <w:t>二、其他要求:</w:t>
      </w:r>
    </w:p>
    <w:p>
      <w:pPr>
        <w:pStyle w:val="13"/>
        <w:rPr>
          <w:rFonts w:hint="eastAsia" w:ascii="宋体" w:hAnsi="宋体"/>
          <w:kern w:val="0"/>
          <w:sz w:val="24"/>
          <w:highlight w:val="none"/>
        </w:rPr>
      </w:pPr>
      <w:r>
        <w:rPr>
          <w:rFonts w:hint="eastAsia" w:ascii="宋体" w:hAnsi="宋体"/>
          <w:kern w:val="0"/>
          <w:sz w:val="24"/>
          <w:highlight w:val="none"/>
        </w:rPr>
        <w:t>1.清单、控价中如列品牌均为参考，不作为指定品牌，响应人可以自行选择其它品牌报价，但响应人所报产品品质、档次、性能、技术参数不低于或相当于参考品牌。</w:t>
      </w:r>
    </w:p>
    <w:p>
      <w:pPr>
        <w:pStyle w:val="13"/>
        <w:rPr>
          <w:rFonts w:hint="eastAsia" w:ascii="宋体" w:hAnsi="宋体"/>
          <w:kern w:val="0"/>
          <w:sz w:val="24"/>
          <w:highlight w:val="none"/>
        </w:rPr>
      </w:pPr>
      <w:r>
        <w:rPr>
          <w:rFonts w:hint="eastAsia" w:ascii="宋体" w:hAnsi="宋体"/>
          <w:kern w:val="0"/>
          <w:sz w:val="24"/>
          <w:highlight w:val="none"/>
        </w:rPr>
        <w:t>2.中标人需在合同签订前提供清单、控制价表中所要求材料文件。</w:t>
      </w:r>
    </w:p>
    <w:p>
      <w:pPr>
        <w:pStyle w:val="13"/>
        <w:rPr>
          <w:rFonts w:ascii="宋体" w:hAnsi="宋体"/>
          <w:kern w:val="0"/>
          <w:sz w:val="24"/>
          <w:highlight w:val="none"/>
        </w:rPr>
      </w:pPr>
      <w:r>
        <w:rPr>
          <w:rFonts w:hint="eastAsia" w:ascii="宋体" w:hAnsi="宋体"/>
          <w:kern w:val="0"/>
          <w:sz w:val="24"/>
          <w:highlight w:val="none"/>
        </w:rPr>
        <w:t>3.中标人根据业主需要进行部分工程量调整，但是签订合同时所提供的预算价中各项所报单价不得变更。</w:t>
      </w:r>
    </w:p>
    <w:p>
      <w:pPr>
        <w:pStyle w:val="2"/>
        <w:rPr>
          <w:rFonts w:hint="default" w:ascii="宋体" w:hAnsi="宋体" w:cs="Times New Roman"/>
          <w:sz w:val="24"/>
          <w:szCs w:val="24"/>
          <w:highlight w:val="none"/>
        </w:rPr>
      </w:pPr>
      <w:r>
        <w:rPr>
          <w:rFonts w:ascii="宋体" w:hAnsi="宋体" w:cs="Times New Roman"/>
          <w:sz w:val="24"/>
          <w:szCs w:val="24"/>
          <w:highlight w:val="none"/>
        </w:rPr>
        <w:t>4.施工中如遇问题应及时与</w:t>
      </w:r>
      <w:r>
        <w:rPr>
          <w:rFonts w:hint="eastAsia" w:ascii="宋体" w:hAnsi="宋体" w:cs="Times New Roman"/>
          <w:sz w:val="24"/>
          <w:szCs w:val="24"/>
          <w:highlight w:val="none"/>
          <w:lang w:eastAsia="zh-CN"/>
        </w:rPr>
        <w:t>采购</w:t>
      </w:r>
      <w:r>
        <w:rPr>
          <w:rFonts w:ascii="宋体" w:hAnsi="宋体" w:cs="Times New Roman"/>
          <w:sz w:val="24"/>
          <w:szCs w:val="24"/>
          <w:highlight w:val="none"/>
        </w:rPr>
        <w:t>人对接处理，双方协商解决问题。</w:t>
      </w:r>
    </w:p>
    <w:p>
      <w:pPr>
        <w:spacing w:line="360" w:lineRule="auto"/>
        <w:ind w:firstLine="480" w:firstLineChars="200"/>
        <w:rPr>
          <w:rFonts w:ascii="宋体" w:hAnsi="宋体"/>
          <w:sz w:val="24"/>
          <w:highlight w:val="none"/>
        </w:rPr>
      </w:pPr>
    </w:p>
    <w:p>
      <w:pPr>
        <w:pStyle w:val="6"/>
        <w:ind w:firstLine="640"/>
        <w:rPr>
          <w:highlight w:val="none"/>
        </w:rPr>
      </w:pPr>
    </w:p>
    <w:p>
      <w:pPr>
        <w:rPr>
          <w:sz w:val="32"/>
          <w:szCs w:val="32"/>
          <w:highlight w:val="none"/>
        </w:rPr>
      </w:pPr>
      <w:r>
        <w:rPr>
          <w:sz w:val="32"/>
          <w:szCs w:val="32"/>
          <w:highlight w:val="none"/>
        </w:rPr>
        <w:br w:type="page"/>
      </w:r>
    </w:p>
    <w:p>
      <w:pPr>
        <w:pStyle w:val="30"/>
        <w:numPr>
          <w:ilvl w:val="0"/>
          <w:numId w:val="0"/>
        </w:numPr>
        <w:jc w:val="both"/>
        <w:rPr>
          <w:sz w:val="32"/>
          <w:szCs w:val="32"/>
          <w:highlight w:val="none"/>
        </w:rPr>
      </w:pPr>
    </w:p>
    <w:p>
      <w:pPr>
        <w:pStyle w:val="30"/>
        <w:numPr>
          <w:ilvl w:val="0"/>
          <w:numId w:val="0"/>
        </w:numPr>
        <w:rPr>
          <w:sz w:val="32"/>
          <w:szCs w:val="32"/>
          <w:highlight w:val="none"/>
        </w:rPr>
      </w:pPr>
      <w:r>
        <w:rPr>
          <w:rFonts w:hint="eastAsia"/>
          <w:sz w:val="32"/>
          <w:szCs w:val="32"/>
          <w:highlight w:val="none"/>
        </w:rPr>
        <w:t>第二章  谈判响应书</w:t>
      </w:r>
      <w:bookmarkEnd w:id="16"/>
    </w:p>
    <w:p>
      <w:pPr>
        <w:jc w:val="center"/>
        <w:rPr>
          <w:rFonts w:ascii="宋体" w:hAnsi="宋体" w:cs="Arial"/>
          <w:b/>
          <w:sz w:val="28"/>
          <w:szCs w:val="28"/>
          <w:highlight w:val="none"/>
        </w:rPr>
      </w:pPr>
    </w:p>
    <w:p>
      <w:pPr>
        <w:pStyle w:val="28"/>
        <w:rPr>
          <w:color w:val="FFFFFF"/>
          <w:highlight w:val="none"/>
        </w:rPr>
      </w:pPr>
      <w:bookmarkStart w:id="17" w:name="_Toc383776352"/>
      <w:r>
        <w:rPr>
          <w:rFonts w:hint="eastAsia"/>
          <w:color w:val="FFFFFF"/>
          <w:highlight w:val="none"/>
        </w:rPr>
        <w:t>封面</w:t>
      </w:r>
      <w:bookmarkEnd w:id="17"/>
    </w:p>
    <w:p>
      <w:pPr>
        <w:jc w:val="center"/>
        <w:rPr>
          <w:rFonts w:ascii="宋体" w:hAnsi="宋体" w:cs="Arial"/>
          <w:sz w:val="72"/>
          <w:szCs w:val="72"/>
          <w:highlight w:val="none"/>
        </w:rPr>
      </w:pPr>
      <w:r>
        <w:rPr>
          <w:rFonts w:hint="eastAsia" w:ascii="宋体" w:hAnsi="宋体" w:cs="Arial"/>
          <w:b/>
          <w:sz w:val="72"/>
          <w:szCs w:val="72"/>
          <w:highlight w:val="none"/>
        </w:rPr>
        <w:t>谈判响应书</w:t>
      </w:r>
    </w:p>
    <w:p>
      <w:pPr>
        <w:ind w:firstLine="1650" w:firstLineChars="550"/>
        <w:rPr>
          <w:rFonts w:ascii="宋体" w:hAnsi="宋体" w:cs="Arial"/>
          <w:sz w:val="30"/>
          <w:szCs w:val="30"/>
          <w:highlight w:val="none"/>
        </w:rPr>
      </w:pPr>
    </w:p>
    <w:p>
      <w:pPr>
        <w:ind w:firstLine="1650" w:firstLineChars="550"/>
        <w:rPr>
          <w:rFonts w:ascii="宋体" w:hAnsi="宋体" w:cs="Arial"/>
          <w:sz w:val="30"/>
          <w:szCs w:val="30"/>
          <w:highlight w:val="none"/>
        </w:rPr>
      </w:pPr>
      <w:r>
        <w:rPr>
          <w:rFonts w:hint="eastAsia" w:ascii="宋体" w:hAnsi="宋体" w:cs="Arial"/>
          <w:sz w:val="30"/>
          <w:szCs w:val="30"/>
          <w:highlight w:val="none"/>
        </w:rPr>
        <w:t>项目编号：</w:t>
      </w:r>
    </w:p>
    <w:p>
      <w:pPr>
        <w:jc w:val="center"/>
        <w:rPr>
          <w:rFonts w:ascii="宋体" w:hAnsi="宋体" w:cs="Arial"/>
          <w:sz w:val="30"/>
          <w:szCs w:val="30"/>
          <w:highlight w:val="none"/>
        </w:rPr>
      </w:pPr>
    </w:p>
    <w:p>
      <w:pPr>
        <w:jc w:val="center"/>
        <w:rPr>
          <w:rFonts w:ascii="宋体" w:hAnsi="宋体" w:cs="Arial"/>
          <w:sz w:val="30"/>
          <w:szCs w:val="30"/>
          <w:highlight w:val="none"/>
        </w:rPr>
      </w:pPr>
    </w:p>
    <w:p>
      <w:pPr>
        <w:jc w:val="center"/>
        <w:rPr>
          <w:rFonts w:ascii="宋体" w:hAnsi="宋体" w:cs="Arial"/>
          <w:sz w:val="30"/>
          <w:szCs w:val="30"/>
          <w:highlight w:val="none"/>
        </w:rPr>
      </w:pPr>
    </w:p>
    <w:p>
      <w:pPr>
        <w:jc w:val="center"/>
        <w:rPr>
          <w:rFonts w:ascii="宋体" w:hAnsi="宋体" w:cs="Arial"/>
          <w:sz w:val="30"/>
          <w:szCs w:val="30"/>
          <w:highlight w:val="none"/>
        </w:rPr>
      </w:pPr>
    </w:p>
    <w:p>
      <w:pPr>
        <w:pStyle w:val="4"/>
        <w:rPr>
          <w:rFonts w:hint="default"/>
          <w:highlight w:val="none"/>
        </w:rPr>
      </w:pPr>
    </w:p>
    <w:p>
      <w:pPr>
        <w:jc w:val="center"/>
        <w:rPr>
          <w:rFonts w:ascii="宋体" w:hAnsi="宋体" w:cs="Arial"/>
          <w:sz w:val="30"/>
          <w:szCs w:val="30"/>
          <w:highlight w:val="none"/>
        </w:rPr>
      </w:pPr>
    </w:p>
    <w:p>
      <w:pPr>
        <w:ind w:firstLine="1650" w:firstLineChars="550"/>
        <w:rPr>
          <w:rFonts w:ascii="宋体" w:hAnsi="宋体" w:cs="Arial"/>
          <w:sz w:val="30"/>
          <w:szCs w:val="30"/>
          <w:highlight w:val="none"/>
          <w:u w:val="single"/>
        </w:rPr>
      </w:pPr>
      <w:r>
        <w:rPr>
          <w:rFonts w:hint="eastAsia" w:ascii="宋体" w:hAnsi="宋体" w:cs="Arial"/>
          <w:sz w:val="30"/>
          <w:szCs w:val="30"/>
          <w:highlight w:val="none"/>
        </w:rPr>
        <w:t>项目名称：</w:t>
      </w:r>
    </w:p>
    <w:p>
      <w:pPr>
        <w:ind w:firstLine="1650" w:firstLineChars="550"/>
        <w:rPr>
          <w:rFonts w:ascii="宋体" w:hAnsi="宋体" w:cs="Arial"/>
          <w:b/>
          <w:sz w:val="30"/>
          <w:szCs w:val="30"/>
          <w:highlight w:val="none"/>
          <w:u w:val="single"/>
        </w:rPr>
      </w:pPr>
      <w:r>
        <w:rPr>
          <w:rFonts w:hint="eastAsia" w:ascii="宋体" w:hAnsi="宋体" w:cs="Arial"/>
          <w:sz w:val="30"/>
          <w:szCs w:val="30"/>
          <w:highlight w:val="none"/>
        </w:rPr>
        <w:t>供 应 商：</w:t>
      </w:r>
    </w:p>
    <w:p>
      <w:pPr>
        <w:ind w:firstLine="3450" w:firstLineChars="1150"/>
        <w:rPr>
          <w:rFonts w:ascii="宋体" w:hAnsi="宋体" w:cs="Arial"/>
          <w:sz w:val="30"/>
          <w:szCs w:val="30"/>
          <w:highlight w:val="none"/>
        </w:rPr>
      </w:pPr>
      <w:r>
        <w:rPr>
          <w:rFonts w:hint="eastAsia" w:ascii="宋体" w:hAnsi="宋体" w:cs="Arial"/>
          <w:sz w:val="30"/>
          <w:szCs w:val="30"/>
          <w:highlight w:val="none"/>
        </w:rPr>
        <w:t>年月日</w:t>
      </w:r>
    </w:p>
    <w:p>
      <w:pPr>
        <w:ind w:firstLine="3300" w:firstLineChars="1100"/>
        <w:jc w:val="center"/>
        <w:rPr>
          <w:rFonts w:ascii="宋体" w:hAnsi="宋体" w:cs="Arial"/>
          <w:sz w:val="30"/>
          <w:szCs w:val="30"/>
          <w:highlight w:val="none"/>
        </w:rPr>
      </w:pPr>
    </w:p>
    <w:p>
      <w:pPr>
        <w:ind w:firstLine="3300" w:firstLineChars="1100"/>
        <w:jc w:val="center"/>
        <w:rPr>
          <w:rFonts w:ascii="宋体" w:hAnsi="宋体" w:cs="Arial"/>
          <w:sz w:val="30"/>
          <w:szCs w:val="30"/>
          <w:highlight w:val="none"/>
        </w:rPr>
      </w:pPr>
    </w:p>
    <w:p>
      <w:pPr>
        <w:rPr>
          <w:rFonts w:ascii="宋体" w:hAnsi="宋体" w:cs="Arial"/>
          <w:sz w:val="30"/>
          <w:szCs w:val="30"/>
          <w:highlight w:val="none"/>
        </w:rPr>
      </w:pPr>
    </w:p>
    <w:p>
      <w:pPr>
        <w:pStyle w:val="4"/>
        <w:rPr>
          <w:rFonts w:hint="default"/>
          <w:highlight w:val="none"/>
        </w:rPr>
      </w:pPr>
    </w:p>
    <w:p>
      <w:pPr>
        <w:pStyle w:val="4"/>
        <w:spacing w:before="0" w:after="0" w:line="240" w:lineRule="auto"/>
        <w:jc w:val="center"/>
        <w:rPr>
          <w:rFonts w:hint="default" w:ascii="宋体" w:hAnsi="宋体" w:eastAsia="宋体" w:cs="华文仿宋"/>
          <w:sz w:val="44"/>
          <w:szCs w:val="44"/>
          <w:highlight w:val="none"/>
        </w:rPr>
      </w:pPr>
      <w:r>
        <w:rPr>
          <w:rFonts w:ascii="宋体" w:hAnsi="宋体" w:eastAsia="宋体" w:cs="华文仿宋"/>
          <w:sz w:val="44"/>
          <w:szCs w:val="44"/>
          <w:highlight w:val="none"/>
        </w:rPr>
        <w:t>目  录</w:t>
      </w:r>
    </w:p>
    <w:p>
      <w:pPr>
        <w:pStyle w:val="4"/>
        <w:spacing w:before="0" w:after="0" w:line="240" w:lineRule="auto"/>
        <w:ind w:firstLine="560" w:firstLineChars="200"/>
        <w:rPr>
          <w:rStyle w:val="34"/>
          <w:rFonts w:hint="default" w:ascii="宋体" w:hAnsi="宋体"/>
          <w:sz w:val="28"/>
          <w:szCs w:val="28"/>
          <w:highlight w:val="none"/>
        </w:rPr>
      </w:pPr>
      <w:r>
        <w:rPr>
          <w:rStyle w:val="34"/>
          <w:rFonts w:ascii="宋体" w:hAnsi="宋体"/>
          <w:sz w:val="28"/>
          <w:szCs w:val="28"/>
          <w:highlight w:val="none"/>
        </w:rPr>
        <w:t>（一）资格、技术及商务部分</w:t>
      </w:r>
    </w:p>
    <w:p>
      <w:pPr>
        <w:pStyle w:val="4"/>
        <w:spacing w:before="0" w:after="0" w:line="240" w:lineRule="auto"/>
        <w:ind w:firstLine="560" w:firstLineChars="200"/>
        <w:rPr>
          <w:rFonts w:hint="default" w:ascii="宋体" w:hAnsi="宋体" w:eastAsia="宋体"/>
          <w:b w:val="0"/>
          <w:sz w:val="28"/>
          <w:szCs w:val="28"/>
          <w:highlight w:val="none"/>
        </w:rPr>
      </w:pPr>
      <w:r>
        <w:rPr>
          <w:rFonts w:ascii="宋体" w:hAnsi="宋体" w:eastAsia="宋体"/>
          <w:b w:val="0"/>
          <w:sz w:val="28"/>
          <w:szCs w:val="28"/>
          <w:highlight w:val="none"/>
        </w:rPr>
        <w:t>一、响应函格式</w:t>
      </w:r>
    </w:p>
    <w:p>
      <w:pPr>
        <w:pStyle w:val="4"/>
        <w:spacing w:before="0" w:after="0" w:line="240" w:lineRule="auto"/>
        <w:ind w:firstLine="560" w:firstLineChars="200"/>
        <w:rPr>
          <w:rFonts w:hint="default" w:ascii="宋体" w:hAnsi="宋体" w:eastAsia="宋体"/>
          <w:b w:val="0"/>
          <w:sz w:val="28"/>
          <w:szCs w:val="28"/>
          <w:highlight w:val="none"/>
        </w:rPr>
      </w:pPr>
      <w:r>
        <w:rPr>
          <w:rFonts w:ascii="宋体" w:hAnsi="宋体" w:eastAsia="宋体"/>
          <w:b w:val="0"/>
          <w:sz w:val="28"/>
          <w:szCs w:val="28"/>
          <w:highlight w:val="none"/>
        </w:rPr>
        <w:t>二、法定代表人授权书</w:t>
      </w:r>
    </w:p>
    <w:p>
      <w:pPr>
        <w:pStyle w:val="4"/>
        <w:spacing w:before="0" w:after="0" w:line="240" w:lineRule="auto"/>
        <w:ind w:firstLine="560" w:firstLineChars="200"/>
        <w:rPr>
          <w:rFonts w:hint="default" w:ascii="宋体" w:hAnsi="宋体" w:eastAsia="宋体"/>
          <w:b w:val="0"/>
          <w:sz w:val="28"/>
          <w:szCs w:val="28"/>
          <w:highlight w:val="none"/>
        </w:rPr>
      </w:pPr>
      <w:r>
        <w:rPr>
          <w:rFonts w:ascii="宋体" w:hAnsi="宋体" w:eastAsia="宋体"/>
          <w:b w:val="0"/>
          <w:sz w:val="28"/>
          <w:szCs w:val="28"/>
          <w:highlight w:val="none"/>
        </w:rPr>
        <w:t>三、资格审查证明材料</w:t>
      </w:r>
    </w:p>
    <w:p>
      <w:pPr>
        <w:pStyle w:val="4"/>
        <w:spacing w:before="0" w:after="0" w:line="240" w:lineRule="auto"/>
        <w:ind w:firstLine="560" w:firstLineChars="200"/>
        <w:rPr>
          <w:rFonts w:hint="default" w:ascii="宋体" w:hAnsi="宋体" w:eastAsia="宋体"/>
          <w:b w:val="0"/>
          <w:sz w:val="28"/>
          <w:szCs w:val="28"/>
          <w:highlight w:val="none"/>
        </w:rPr>
      </w:pPr>
      <w:r>
        <w:rPr>
          <w:rFonts w:hint="eastAsia" w:ascii="宋体" w:hAnsi="宋体" w:eastAsia="宋体"/>
          <w:b w:val="0"/>
          <w:sz w:val="28"/>
          <w:szCs w:val="28"/>
          <w:highlight w:val="none"/>
          <w:lang w:eastAsia="zh-CN"/>
        </w:rPr>
        <w:t>四</w:t>
      </w:r>
      <w:r>
        <w:rPr>
          <w:rFonts w:ascii="宋体" w:hAnsi="宋体" w:eastAsia="宋体"/>
          <w:b w:val="0"/>
          <w:sz w:val="28"/>
          <w:szCs w:val="28"/>
          <w:highlight w:val="none"/>
        </w:rPr>
        <w:t>、谈判文件中规定必须的其他资料</w:t>
      </w:r>
    </w:p>
    <w:p>
      <w:pPr>
        <w:pStyle w:val="4"/>
        <w:spacing w:before="0" w:after="0" w:line="240" w:lineRule="auto"/>
        <w:ind w:firstLine="560" w:firstLineChars="200"/>
        <w:rPr>
          <w:rStyle w:val="34"/>
          <w:rFonts w:hint="default" w:ascii="宋体" w:hAnsi="宋体"/>
          <w:sz w:val="28"/>
          <w:szCs w:val="28"/>
          <w:highlight w:val="none"/>
        </w:rPr>
      </w:pPr>
      <w:r>
        <w:rPr>
          <w:rStyle w:val="34"/>
          <w:rFonts w:ascii="宋体" w:hAnsi="宋体"/>
          <w:sz w:val="28"/>
          <w:szCs w:val="28"/>
          <w:highlight w:val="none"/>
        </w:rPr>
        <w:t>（二）报价部分</w:t>
      </w:r>
    </w:p>
    <w:p>
      <w:pPr>
        <w:pStyle w:val="4"/>
        <w:spacing w:before="0" w:after="0" w:line="240" w:lineRule="auto"/>
        <w:ind w:firstLine="560" w:firstLineChars="200"/>
        <w:rPr>
          <w:rFonts w:hint="default" w:ascii="宋体" w:hAnsi="宋体" w:eastAsia="宋体"/>
          <w:b w:val="0"/>
          <w:sz w:val="28"/>
          <w:szCs w:val="28"/>
          <w:highlight w:val="none"/>
        </w:rPr>
      </w:pPr>
      <w:r>
        <w:rPr>
          <w:rFonts w:ascii="宋体" w:hAnsi="宋体" w:eastAsia="宋体"/>
          <w:b w:val="0"/>
          <w:sz w:val="28"/>
          <w:szCs w:val="28"/>
          <w:highlight w:val="none"/>
        </w:rPr>
        <w:t>谈判响应报价表</w:t>
      </w:r>
    </w:p>
    <w:p>
      <w:pPr>
        <w:rPr>
          <w:sz w:val="32"/>
          <w:szCs w:val="32"/>
          <w:highlight w:val="none"/>
        </w:rPr>
      </w:pPr>
    </w:p>
    <w:p>
      <w:pPr>
        <w:pStyle w:val="28"/>
        <w:rPr>
          <w:highlight w:val="none"/>
        </w:rPr>
      </w:pPr>
      <w:r>
        <w:rPr>
          <w:rFonts w:hint="eastAsia"/>
          <w:highlight w:val="none"/>
        </w:rPr>
        <w:br w:type="page"/>
      </w:r>
      <w:bookmarkStart w:id="18" w:name="_Toc383776353"/>
    </w:p>
    <w:p>
      <w:pPr>
        <w:pStyle w:val="28"/>
        <w:jc w:val="both"/>
        <w:rPr>
          <w:highlight w:val="none"/>
        </w:rPr>
      </w:pPr>
      <w:r>
        <w:rPr>
          <w:rFonts w:hint="eastAsia" w:ascii="宋体" w:hAnsi="宋体"/>
          <w:sz w:val="28"/>
          <w:szCs w:val="28"/>
          <w:highlight w:val="none"/>
        </w:rPr>
        <w:t>（一）资格、技术及商务部分</w:t>
      </w:r>
    </w:p>
    <w:p>
      <w:pPr>
        <w:pStyle w:val="28"/>
        <w:rPr>
          <w:rFonts w:ascii="宋体" w:hAnsi="宋体" w:cs="华文仿宋"/>
          <w:b/>
          <w:sz w:val="28"/>
          <w:szCs w:val="28"/>
          <w:highlight w:val="none"/>
        </w:rPr>
      </w:pPr>
      <w:r>
        <w:rPr>
          <w:rFonts w:hint="eastAsia" w:ascii="宋体" w:hAnsi="宋体"/>
          <w:b/>
          <w:sz w:val="28"/>
          <w:szCs w:val="28"/>
          <w:highlight w:val="none"/>
        </w:rPr>
        <w:t>一、谈判响应函格式</w:t>
      </w:r>
      <w:bookmarkEnd w:id="18"/>
    </w:p>
    <w:p>
      <w:pPr>
        <w:pStyle w:val="45"/>
        <w:adjustRightInd w:val="0"/>
        <w:snapToGrid w:val="0"/>
        <w:ind w:left="420" w:leftChars="200" w:firstLine="0" w:firstLineChars="0"/>
        <w:jc w:val="center"/>
        <w:rPr>
          <w:rFonts w:hint="eastAsia" w:ascii="宋体" w:hAnsi="宋体" w:cs="宋体"/>
          <w:bCs w:val="0"/>
          <w:sz w:val="24"/>
          <w:szCs w:val="24"/>
          <w:highlight w:val="none"/>
        </w:rPr>
      </w:pPr>
      <w:r>
        <w:rPr>
          <w:rFonts w:hint="eastAsia" w:ascii="宋体" w:hAnsi="宋体" w:cs="宋体"/>
          <w:highlight w:val="none"/>
        </w:rPr>
        <w:t>3、</w:t>
      </w:r>
      <w:r>
        <w:rPr>
          <w:rFonts w:hint="eastAsia" w:ascii="宋体" w:hAnsi="宋体" w:cs="宋体"/>
          <w:bCs w:val="0"/>
          <w:sz w:val="24"/>
          <w:szCs w:val="24"/>
          <w:highlight w:val="none"/>
        </w:rPr>
        <w:t>响应函</w:t>
      </w:r>
    </w:p>
    <w:p>
      <w:pPr>
        <w:adjustRightInd w:val="0"/>
        <w:snapToGrid w:val="0"/>
        <w:spacing w:before="62" w:beforeLines="20" w:after="62" w:afterLines="20" w:line="360" w:lineRule="auto"/>
        <w:rPr>
          <w:rFonts w:hint="eastAsia" w:ascii="宋体" w:hAnsi="宋体" w:cs="宋体"/>
          <w:kern w:val="0"/>
          <w:sz w:val="24"/>
          <w:szCs w:val="20"/>
          <w:highlight w:val="none"/>
          <w:u w:val="single"/>
        </w:rPr>
      </w:pPr>
      <w:r>
        <w:rPr>
          <w:rFonts w:hint="eastAsia" w:ascii="宋体" w:hAnsi="宋体" w:cs="宋体"/>
          <w:kern w:val="0"/>
          <w:sz w:val="24"/>
          <w:szCs w:val="20"/>
          <w:highlight w:val="none"/>
        </w:rPr>
        <w:t>致：</w:t>
      </w:r>
      <w:r>
        <w:rPr>
          <w:rFonts w:hint="eastAsia" w:ascii="宋体" w:hAnsi="宋体" w:cs="宋体"/>
          <w:kern w:val="0"/>
          <w:sz w:val="24"/>
          <w:szCs w:val="20"/>
          <w:highlight w:val="none"/>
          <w:u w:val="single"/>
        </w:rPr>
        <w:t xml:space="preserve">   {采购人名称}   </w:t>
      </w:r>
    </w:p>
    <w:p>
      <w:pPr>
        <w:tabs>
          <w:tab w:val="left" w:pos="7560"/>
        </w:tabs>
        <w:adjustRightInd w:val="0"/>
        <w:snapToGrid w:val="0"/>
        <w:spacing w:before="62" w:beforeLines="20" w:after="62" w:afterLines="20" w:line="360" w:lineRule="auto"/>
        <w:ind w:firstLine="480" w:firstLineChars="200"/>
        <w:rPr>
          <w:rFonts w:hint="eastAsia" w:ascii="宋体" w:hAnsi="宋体" w:cs="宋体"/>
          <w:kern w:val="0"/>
          <w:sz w:val="24"/>
          <w:szCs w:val="20"/>
          <w:highlight w:val="none"/>
          <w:u w:val="single"/>
        </w:rPr>
      </w:pPr>
      <w:r>
        <w:rPr>
          <w:rFonts w:hint="eastAsia" w:ascii="宋体" w:hAnsi="宋体" w:cs="宋体"/>
          <w:kern w:val="0"/>
          <w:sz w:val="24"/>
          <w:szCs w:val="20"/>
          <w:highlight w:val="none"/>
        </w:rPr>
        <w:t>1.根据你方</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项目编号为</w:t>
      </w:r>
      <w:r>
        <w:rPr>
          <w:rFonts w:hint="eastAsia" w:ascii="宋体" w:hAnsi="宋体" w:cs="宋体"/>
          <w:kern w:val="0"/>
          <w:sz w:val="24"/>
          <w:szCs w:val="20"/>
          <w:highlight w:val="none"/>
          <w:u w:val="single"/>
        </w:rPr>
        <w:t xml:space="preserve">  {项目编号}  </w:t>
      </w:r>
      <w:r>
        <w:rPr>
          <w:rFonts w:hint="eastAsia" w:ascii="宋体" w:hAnsi="宋体" w:cs="宋体"/>
          <w:kern w:val="0"/>
          <w:sz w:val="24"/>
          <w:szCs w:val="20"/>
          <w:highlight w:val="none"/>
        </w:rPr>
        <w:t>的</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u w:val="single"/>
          <w:lang w:eastAsia="zh-CN"/>
        </w:rPr>
        <w:t>谈判</w:t>
      </w:r>
      <w:r>
        <w:rPr>
          <w:rFonts w:hint="eastAsia" w:ascii="宋体" w:hAnsi="宋体" w:cs="宋体"/>
          <w:kern w:val="0"/>
          <w:sz w:val="24"/>
          <w:szCs w:val="20"/>
          <w:highlight w:val="none"/>
          <w:u w:val="single"/>
        </w:rPr>
        <w:t xml:space="preserve">项目名称}  </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，遵照《中华人民共和国采购法》等有关规定，经踏勘项目现场和研究上述</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的响应文件须知、合同条款、图纸和工程建设标准和工程量清单及其他有关文件后，我方愿以人民币（大写）</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（小写</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元）的响应报价并按上述</w:t>
      </w:r>
      <w:r>
        <w:rPr>
          <w:rFonts w:hint="eastAsia" w:ascii="宋体" w:hAnsi="宋体" w:cs="宋体"/>
          <w:bCs/>
          <w:kern w:val="0"/>
          <w:sz w:val="24"/>
          <w:szCs w:val="20"/>
          <w:highlight w:val="none"/>
        </w:rPr>
        <w:t>图纸、合同条款和工程建设标准的条件要求</w:t>
      </w:r>
      <w:r>
        <w:rPr>
          <w:rFonts w:hint="eastAsia" w:ascii="宋体" w:hAnsi="宋体" w:cs="宋体"/>
          <w:kern w:val="0"/>
          <w:sz w:val="24"/>
          <w:szCs w:val="20"/>
          <w:highlight w:val="none"/>
        </w:rPr>
        <w:t>承担</w:t>
      </w:r>
      <w:r>
        <w:rPr>
          <w:rFonts w:hint="eastAsia" w:ascii="宋体" w:hAnsi="宋体" w:cs="宋体"/>
          <w:bCs/>
          <w:kern w:val="0"/>
          <w:sz w:val="24"/>
          <w:szCs w:val="20"/>
          <w:highlight w:val="none"/>
        </w:rPr>
        <w:t>上述工程的施工、竣工，并承担任何质量缺陷保修责任。</w:t>
      </w:r>
    </w:p>
    <w:p>
      <w:pPr>
        <w:adjustRightInd w:val="0"/>
        <w:snapToGrid w:val="0"/>
        <w:spacing w:before="62" w:beforeLines="20" w:after="62" w:afterLines="20" w:line="360" w:lineRule="auto"/>
        <w:ind w:firstLine="420" w:firstLineChars="175"/>
        <w:rPr>
          <w:rFonts w:hint="eastAsia" w:ascii="宋体" w:hAnsi="宋体" w:cs="宋体"/>
          <w:kern w:val="0"/>
          <w:sz w:val="24"/>
          <w:szCs w:val="20"/>
          <w:highlight w:val="none"/>
        </w:rPr>
      </w:pPr>
      <w:r>
        <w:rPr>
          <w:rFonts w:hint="eastAsia" w:ascii="宋体" w:hAnsi="宋体" w:cs="宋体"/>
          <w:kern w:val="0"/>
          <w:sz w:val="24"/>
          <w:szCs w:val="20"/>
          <w:highlight w:val="none"/>
        </w:rPr>
        <w:t>2.我方已详细阅读和确认全部</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及有关附件。如我方中标，我方拟派项目经理为</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w:t>
      </w:r>
    </w:p>
    <w:p>
      <w:pPr>
        <w:adjustRightInd w:val="0"/>
        <w:snapToGrid w:val="0"/>
        <w:spacing w:before="62" w:beforeLines="20" w:after="62" w:afterLines="20" w:line="360" w:lineRule="auto"/>
        <w:ind w:left="420" w:leftChars="200"/>
        <w:rPr>
          <w:rFonts w:hint="eastAsia" w:ascii="宋体" w:hAnsi="宋体" w:cs="宋体"/>
          <w:kern w:val="0"/>
          <w:sz w:val="24"/>
          <w:szCs w:val="20"/>
          <w:highlight w:val="none"/>
        </w:rPr>
      </w:pPr>
      <w:r>
        <w:rPr>
          <w:rFonts w:hint="eastAsia" w:ascii="宋体" w:hAnsi="宋体" w:cs="宋体"/>
          <w:kern w:val="0"/>
          <w:sz w:val="24"/>
          <w:szCs w:val="20"/>
          <w:highlight w:val="none"/>
        </w:rPr>
        <w:t>3.我方承认附录是我方响应函的组成部分。</w:t>
      </w:r>
    </w:p>
    <w:p>
      <w:pPr>
        <w:adjustRightInd w:val="0"/>
        <w:snapToGrid w:val="0"/>
        <w:spacing w:before="62" w:beforeLines="20" w:after="62" w:afterLines="20" w:line="360" w:lineRule="auto"/>
        <w:ind w:firstLine="420" w:firstLineChars="175"/>
        <w:rPr>
          <w:rFonts w:hint="eastAsia" w:ascii="宋体" w:hAnsi="宋体" w:cs="宋体"/>
          <w:kern w:val="0"/>
          <w:sz w:val="24"/>
          <w:szCs w:val="20"/>
          <w:highlight w:val="none"/>
        </w:rPr>
      </w:pPr>
      <w:r>
        <w:rPr>
          <w:rFonts w:hint="eastAsia" w:ascii="宋体" w:hAnsi="宋体" w:cs="宋体"/>
          <w:kern w:val="0"/>
          <w:sz w:val="24"/>
          <w:szCs w:val="20"/>
          <w:highlight w:val="none"/>
        </w:rPr>
        <w:t>4.一旦我方中标，我方保证按</w:t>
      </w:r>
      <w:r>
        <w:rPr>
          <w:rFonts w:hint="eastAsia" w:ascii="宋体" w:hAnsi="宋体" w:cs="宋体"/>
          <w:kern w:val="0"/>
          <w:sz w:val="24"/>
          <w:szCs w:val="20"/>
          <w:highlight w:val="none"/>
          <w:lang w:val="zh-CN"/>
        </w:rPr>
        <w:t>合同签订之日起</w:t>
      </w:r>
      <w:r>
        <w:rPr>
          <w:rFonts w:hint="eastAsia" w:ascii="宋体" w:hAnsi="宋体" w:cs="宋体"/>
          <w:kern w:val="0"/>
          <w:sz w:val="24"/>
          <w:szCs w:val="20"/>
          <w:highlight w:val="none"/>
          <w:lang w:val="en-US" w:eastAsia="zh-CN"/>
        </w:rPr>
        <w:t>45</w:t>
      </w:r>
      <w:r>
        <w:rPr>
          <w:rFonts w:hint="eastAsia" w:ascii="宋体" w:hAnsi="宋体" w:cs="宋体"/>
          <w:kern w:val="0"/>
          <w:sz w:val="24"/>
          <w:szCs w:val="20"/>
          <w:highlight w:val="none"/>
          <w:lang w:val="zh-CN"/>
        </w:rPr>
        <w:t>日</w:t>
      </w:r>
      <w:r>
        <w:rPr>
          <w:rFonts w:hint="eastAsia" w:ascii="宋体" w:hAnsi="宋体" w:cs="宋体"/>
          <w:kern w:val="0"/>
          <w:sz w:val="24"/>
          <w:szCs w:val="20"/>
          <w:highlight w:val="none"/>
        </w:rPr>
        <w:t>的工期和</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或业主开工令的要求如期开工、竣工并移交整个工程。在施工过程中如发现转包、违法分包行为，我方将承担一切后果和经济责任。</w:t>
      </w:r>
      <w:r>
        <w:rPr>
          <w:rFonts w:hint="eastAsia" w:ascii="宋体" w:hAnsi="宋体" w:cs="宋体"/>
          <w:b/>
          <w:bCs/>
          <w:kern w:val="0"/>
          <w:sz w:val="24"/>
          <w:szCs w:val="20"/>
          <w:highlight w:val="none"/>
        </w:rPr>
        <w:t>如填写错误不符合</w:t>
      </w:r>
      <w:r>
        <w:rPr>
          <w:rFonts w:hint="eastAsia" w:ascii="宋体" w:hAnsi="宋体" w:cs="宋体"/>
          <w:b/>
          <w:bCs/>
          <w:kern w:val="0"/>
          <w:sz w:val="24"/>
          <w:szCs w:val="20"/>
          <w:highlight w:val="none"/>
          <w:lang w:eastAsia="zh-CN"/>
        </w:rPr>
        <w:t>谈判文件</w:t>
      </w:r>
      <w:r>
        <w:rPr>
          <w:rFonts w:hint="eastAsia" w:ascii="宋体" w:hAnsi="宋体" w:cs="宋体"/>
          <w:b/>
          <w:bCs/>
          <w:kern w:val="0"/>
          <w:sz w:val="24"/>
          <w:szCs w:val="20"/>
          <w:highlight w:val="none"/>
        </w:rPr>
        <w:t>的要求，自愿做废标处理</w:t>
      </w:r>
      <w:r>
        <w:rPr>
          <w:rFonts w:hint="eastAsia" w:ascii="宋体" w:hAnsi="宋体" w:cs="宋体"/>
          <w:kern w:val="0"/>
          <w:sz w:val="24"/>
          <w:szCs w:val="20"/>
          <w:highlight w:val="none"/>
        </w:rPr>
        <w:t>。</w:t>
      </w:r>
    </w:p>
    <w:p>
      <w:pPr>
        <w:adjustRightInd w:val="0"/>
        <w:snapToGrid w:val="0"/>
        <w:spacing w:before="62" w:beforeLines="20" w:after="62" w:afterLines="20" w:line="360" w:lineRule="auto"/>
        <w:ind w:firstLine="420" w:firstLineChars="175"/>
        <w:rPr>
          <w:rFonts w:hint="eastAsia" w:ascii="宋体" w:hAnsi="宋体" w:cs="宋体"/>
          <w:kern w:val="0"/>
          <w:sz w:val="24"/>
          <w:szCs w:val="20"/>
          <w:highlight w:val="none"/>
        </w:rPr>
      </w:pPr>
      <w:r>
        <w:rPr>
          <w:rFonts w:hint="eastAsia" w:ascii="宋体" w:hAnsi="宋体" w:cs="宋体"/>
          <w:kern w:val="0"/>
          <w:sz w:val="24"/>
          <w:szCs w:val="20"/>
          <w:highlight w:val="none"/>
        </w:rPr>
        <w:t>5.一旦我方中标，我方保证工程质量达到</w:t>
      </w:r>
      <w:r>
        <w:rPr>
          <w:rFonts w:hint="eastAsia" w:ascii="宋体" w:hAnsi="宋体" w:cs="宋体"/>
          <w:kern w:val="0"/>
          <w:sz w:val="24"/>
          <w:szCs w:val="20"/>
          <w:highlight w:val="none"/>
          <w:u w:val="single"/>
        </w:rPr>
        <w:t>　　　　　　　　　　　</w:t>
      </w:r>
      <w:r>
        <w:rPr>
          <w:rFonts w:hint="eastAsia" w:ascii="宋体" w:hAnsi="宋体" w:cs="宋体"/>
          <w:kern w:val="0"/>
          <w:sz w:val="24"/>
          <w:szCs w:val="20"/>
          <w:highlight w:val="none"/>
        </w:rPr>
        <w:t>标准。</w:t>
      </w:r>
    </w:p>
    <w:p>
      <w:pPr>
        <w:adjustRightInd w:val="0"/>
        <w:snapToGrid w:val="0"/>
        <w:spacing w:before="62" w:beforeLines="20" w:after="62" w:afterLines="20" w:line="360" w:lineRule="auto"/>
        <w:ind w:firstLine="420" w:firstLineChars="175"/>
        <w:rPr>
          <w:rFonts w:hint="eastAsia" w:ascii="宋体" w:hAnsi="宋体" w:cs="宋体"/>
          <w:kern w:val="0"/>
          <w:sz w:val="24"/>
          <w:szCs w:val="20"/>
          <w:highlight w:val="none"/>
        </w:rPr>
      </w:pPr>
      <w:r>
        <w:rPr>
          <w:rFonts w:hint="eastAsia" w:ascii="宋体" w:hAnsi="宋体" w:cs="宋体"/>
          <w:kern w:val="0"/>
          <w:sz w:val="24"/>
          <w:szCs w:val="20"/>
          <w:highlight w:val="none"/>
        </w:rPr>
        <w:t>6.一旦我方中标，我方保证</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中承诺的项目管理班子及施工机械设备到位，并按</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中的要求组织施工。</w:t>
      </w:r>
    </w:p>
    <w:p>
      <w:pPr>
        <w:adjustRightInd w:val="0"/>
        <w:snapToGrid w:val="0"/>
        <w:spacing w:before="62" w:beforeLines="20" w:after="62" w:afterLines="20" w:line="360" w:lineRule="auto"/>
        <w:ind w:firstLine="420" w:firstLineChars="175"/>
        <w:rPr>
          <w:rFonts w:hint="eastAsia" w:ascii="宋体" w:hAnsi="宋体" w:cs="宋体"/>
          <w:kern w:val="0"/>
          <w:sz w:val="24"/>
          <w:szCs w:val="20"/>
          <w:highlight w:val="none"/>
        </w:rPr>
      </w:pPr>
      <w:r>
        <w:rPr>
          <w:rFonts w:hint="eastAsia" w:ascii="宋体" w:hAnsi="宋体" w:cs="宋体"/>
          <w:kern w:val="0"/>
          <w:sz w:val="24"/>
          <w:szCs w:val="20"/>
          <w:highlight w:val="none"/>
        </w:rPr>
        <w:t>7.一旦我方中标，我方保证用于本工程的主要材料、设备，不低于</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规定和</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承诺的合格产品，并在使用之前经采购单位确认后使用。</w:t>
      </w:r>
    </w:p>
    <w:p>
      <w:pPr>
        <w:adjustRightInd w:val="0"/>
        <w:snapToGrid w:val="0"/>
        <w:spacing w:before="62" w:beforeLines="20" w:after="62" w:afterLines="20" w:line="360" w:lineRule="auto"/>
        <w:ind w:firstLine="420" w:firstLineChars="175"/>
        <w:rPr>
          <w:rFonts w:hint="eastAsia" w:ascii="宋体" w:hAnsi="宋体" w:cs="宋体"/>
          <w:kern w:val="0"/>
          <w:sz w:val="24"/>
          <w:szCs w:val="20"/>
          <w:highlight w:val="none"/>
        </w:rPr>
      </w:pPr>
      <w:r>
        <w:rPr>
          <w:rFonts w:hint="eastAsia" w:ascii="宋体" w:hAnsi="宋体" w:cs="宋体"/>
          <w:kern w:val="0"/>
          <w:sz w:val="24"/>
          <w:szCs w:val="20"/>
          <w:highlight w:val="none"/>
        </w:rPr>
        <w:t>8.一旦我方中标，我方保证在规定的时间内签订合同以及及时进场施工，并认真履行合同和其它各项承诺。</w:t>
      </w:r>
    </w:p>
    <w:p>
      <w:pPr>
        <w:adjustRightInd w:val="0"/>
        <w:snapToGrid w:val="0"/>
        <w:spacing w:before="62" w:beforeLines="20" w:after="62" w:afterLines="20" w:line="360" w:lineRule="auto"/>
        <w:ind w:firstLine="420" w:firstLineChars="175"/>
        <w:rPr>
          <w:rFonts w:hint="eastAsia" w:ascii="宋体" w:hAnsi="宋体" w:cs="宋体"/>
          <w:kern w:val="0"/>
          <w:sz w:val="24"/>
          <w:szCs w:val="20"/>
          <w:highlight w:val="none"/>
        </w:rPr>
      </w:pPr>
      <w:r>
        <w:rPr>
          <w:rFonts w:hint="eastAsia" w:ascii="宋体" w:hAnsi="宋体" w:cs="宋体"/>
          <w:kern w:val="0"/>
          <w:sz w:val="24"/>
          <w:szCs w:val="20"/>
          <w:highlight w:val="none"/>
        </w:rPr>
        <w:t>9.一旦我方中标，我方保证在规定的时间内按</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规定的方式、金额向</w:t>
      </w:r>
      <w:r>
        <w:rPr>
          <w:rFonts w:hint="eastAsia" w:ascii="宋体" w:hAnsi="宋体" w:cs="宋体"/>
          <w:kern w:val="0"/>
          <w:sz w:val="24"/>
          <w:szCs w:val="20"/>
          <w:highlight w:val="none"/>
          <w:lang w:eastAsia="zh-CN"/>
        </w:rPr>
        <w:t>采购</w:t>
      </w:r>
      <w:r>
        <w:rPr>
          <w:rFonts w:hint="eastAsia" w:ascii="宋体" w:hAnsi="宋体" w:cs="宋体"/>
          <w:kern w:val="0"/>
          <w:sz w:val="24"/>
          <w:szCs w:val="20"/>
          <w:highlight w:val="none"/>
        </w:rPr>
        <w:t>人提交履约担保。</w:t>
      </w:r>
    </w:p>
    <w:p>
      <w:pPr>
        <w:adjustRightInd w:val="0"/>
        <w:snapToGrid w:val="0"/>
        <w:spacing w:before="62" w:beforeLines="20" w:after="62" w:afterLines="20" w:line="360" w:lineRule="auto"/>
        <w:ind w:firstLine="420" w:firstLineChars="175"/>
        <w:rPr>
          <w:rFonts w:hint="eastAsia" w:ascii="宋体" w:hAnsi="宋体" w:cs="宋体"/>
          <w:kern w:val="0"/>
          <w:sz w:val="24"/>
          <w:szCs w:val="20"/>
          <w:highlight w:val="none"/>
        </w:rPr>
      </w:pPr>
      <w:r>
        <w:rPr>
          <w:rFonts w:hint="eastAsia" w:ascii="宋体" w:hAnsi="宋体" w:cs="宋体"/>
          <w:kern w:val="0"/>
          <w:sz w:val="24"/>
          <w:szCs w:val="20"/>
          <w:highlight w:val="none"/>
        </w:rPr>
        <w:t>10.我方同意所提交的响应文件在</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的响应须知中规定的响应有效期内有效，在此期间内如果中标，我方将受此约束。</w:t>
      </w:r>
    </w:p>
    <w:p>
      <w:pPr>
        <w:adjustRightInd w:val="0"/>
        <w:snapToGrid w:val="0"/>
        <w:spacing w:before="62" w:beforeLines="20" w:after="62" w:afterLines="20" w:line="360" w:lineRule="auto"/>
        <w:ind w:firstLine="420" w:firstLineChars="175"/>
        <w:rPr>
          <w:rFonts w:hint="eastAsia" w:ascii="宋体" w:hAnsi="宋体" w:cs="宋体"/>
          <w:kern w:val="0"/>
          <w:sz w:val="24"/>
          <w:szCs w:val="20"/>
          <w:highlight w:val="none"/>
        </w:rPr>
      </w:pPr>
      <w:r>
        <w:rPr>
          <w:rFonts w:hint="eastAsia" w:ascii="宋体" w:hAnsi="宋体" w:cs="宋体"/>
          <w:kern w:val="0"/>
          <w:sz w:val="24"/>
          <w:szCs w:val="20"/>
          <w:highlight w:val="none"/>
        </w:rPr>
        <w:t>11.除非另外达成协议并生效，你方的中标通知书和响应文件以及</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澄清、修改通知、补充文件将成为约束双方的合同文件的组成部分。</w:t>
      </w:r>
    </w:p>
    <w:p>
      <w:pPr>
        <w:adjustRightInd w:val="0"/>
        <w:snapToGrid w:val="0"/>
        <w:spacing w:before="62" w:beforeLines="20" w:after="62" w:afterLines="20" w:line="360" w:lineRule="auto"/>
        <w:ind w:firstLine="420" w:firstLineChars="175"/>
        <w:rPr>
          <w:rFonts w:hint="eastAsia" w:ascii="宋体" w:hAnsi="宋体" w:eastAsia="仿宋_GB2312" w:cs="宋体"/>
          <w:kern w:val="0"/>
          <w:sz w:val="24"/>
          <w:szCs w:val="20"/>
          <w:highlight w:val="none"/>
        </w:rPr>
      </w:pPr>
      <w:r>
        <w:rPr>
          <w:rFonts w:hint="eastAsia" w:ascii="宋体" w:hAnsi="宋体" w:cs="宋体"/>
          <w:kern w:val="0"/>
          <w:sz w:val="24"/>
          <w:szCs w:val="20"/>
          <w:highlight w:val="none"/>
        </w:rPr>
        <w:t>12.如我方中标，我方将严格按照</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及相关附件中要求完成项目。</w:t>
      </w:r>
    </w:p>
    <w:p>
      <w:pPr>
        <w:adjustRightInd w:val="0"/>
        <w:snapToGrid w:val="0"/>
        <w:spacing w:before="62" w:beforeLines="20" w:after="62" w:afterLines="20" w:line="360" w:lineRule="auto"/>
        <w:ind w:firstLine="420" w:firstLineChars="175"/>
        <w:rPr>
          <w:rFonts w:hint="eastAsia" w:ascii="宋体" w:hAnsi="宋体" w:cs="宋体"/>
          <w:kern w:val="0"/>
          <w:sz w:val="24"/>
          <w:szCs w:val="20"/>
          <w:highlight w:val="none"/>
        </w:rPr>
      </w:pPr>
      <w:r>
        <w:rPr>
          <w:rFonts w:hint="eastAsia" w:ascii="宋体" w:hAnsi="宋体" w:cs="宋体"/>
          <w:kern w:val="0"/>
          <w:sz w:val="24"/>
          <w:szCs w:val="20"/>
          <w:highlight w:val="none"/>
        </w:rPr>
        <w:t xml:space="preserve">13. </w:t>
      </w:r>
      <w:r>
        <w:rPr>
          <w:rFonts w:hint="eastAsia" w:ascii="宋体" w:hAnsi="宋体" w:cs="宋体"/>
          <w:kern w:val="0"/>
          <w:sz w:val="24"/>
          <w:szCs w:val="20"/>
          <w:highlight w:val="none"/>
          <w:lang w:eastAsia="zh-CN"/>
        </w:rPr>
        <w:t>谈判文件</w:t>
      </w:r>
      <w:r>
        <w:rPr>
          <w:rFonts w:hint="eastAsia" w:ascii="宋体" w:hAnsi="宋体" w:cs="宋体"/>
          <w:kern w:val="0"/>
          <w:sz w:val="24"/>
          <w:szCs w:val="20"/>
          <w:highlight w:val="none"/>
        </w:rPr>
        <w:t>、响应文件及中标通知书将成为约束双方的合同文件的组成部分。</w:t>
      </w:r>
    </w:p>
    <w:p>
      <w:pPr>
        <w:adjustRightInd w:val="0"/>
        <w:snapToGrid w:val="0"/>
        <w:spacing w:before="62" w:beforeLines="20" w:after="62" w:afterLines="20" w:line="360" w:lineRule="auto"/>
        <w:ind w:firstLine="420" w:firstLineChars="175"/>
        <w:rPr>
          <w:rFonts w:hint="eastAsia" w:ascii="宋体" w:hAnsi="宋体" w:cs="宋体"/>
          <w:b/>
          <w:kern w:val="0"/>
          <w:sz w:val="24"/>
          <w:szCs w:val="20"/>
          <w:highlight w:val="none"/>
        </w:rPr>
      </w:pPr>
      <w:r>
        <w:rPr>
          <w:rFonts w:hint="eastAsia" w:ascii="宋体" w:hAnsi="宋体" w:cs="宋体"/>
          <w:b/>
          <w:kern w:val="0"/>
          <w:sz w:val="24"/>
          <w:szCs w:val="20"/>
          <w:highlight w:val="none"/>
        </w:rPr>
        <w:t>14.我方承诺：（1）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pPr>
        <w:adjustRightInd w:val="0"/>
        <w:snapToGrid w:val="0"/>
        <w:spacing w:before="62" w:beforeLines="20" w:after="62" w:afterLines="20" w:line="360" w:lineRule="auto"/>
        <w:ind w:firstLine="420" w:firstLineChars="175"/>
        <w:rPr>
          <w:rFonts w:hint="eastAsia" w:ascii="宋体" w:hAnsi="宋体" w:cs="宋体"/>
          <w:b/>
          <w:kern w:val="0"/>
          <w:sz w:val="24"/>
          <w:szCs w:val="20"/>
          <w:highlight w:val="none"/>
        </w:rPr>
      </w:pPr>
      <w:r>
        <w:rPr>
          <w:rFonts w:hint="eastAsia" w:ascii="宋体" w:hAnsi="宋体" w:cs="宋体"/>
          <w:b/>
          <w:kern w:val="0"/>
          <w:sz w:val="24"/>
          <w:szCs w:val="20"/>
          <w:highlight w:val="none"/>
        </w:rPr>
        <w:t>（2）至响应截止日，我方、包括我方法定代表人____________及拟派项目经理（项目负责人）____________近三年内均未被人民检察院列入行贿犯罪档案；响应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pPr>
        <w:adjustRightInd w:val="0"/>
        <w:snapToGrid w:val="0"/>
        <w:spacing w:before="62" w:beforeLines="20" w:after="62" w:afterLines="20" w:line="360" w:lineRule="auto"/>
        <w:ind w:firstLine="420" w:firstLineChars="175"/>
        <w:rPr>
          <w:rFonts w:hint="eastAsia" w:ascii="宋体" w:hAnsi="宋体" w:cs="宋体"/>
          <w:kern w:val="0"/>
          <w:sz w:val="24"/>
          <w:szCs w:val="20"/>
          <w:highlight w:val="none"/>
        </w:rPr>
      </w:pPr>
      <w:r>
        <w:rPr>
          <w:rFonts w:hint="eastAsia" w:ascii="宋体" w:hAnsi="宋体" w:cs="宋体"/>
          <w:kern w:val="0"/>
          <w:sz w:val="24"/>
          <w:szCs w:val="20"/>
          <w:highlight w:val="none"/>
        </w:rPr>
        <w:t>15.其他补充说明：</w:t>
      </w:r>
      <w:r>
        <w:rPr>
          <w:rFonts w:hint="eastAsia" w:ascii="宋体" w:hAnsi="宋体" w:cs="宋体"/>
          <w:kern w:val="0"/>
          <w:sz w:val="24"/>
          <w:szCs w:val="20"/>
          <w:highlight w:val="none"/>
          <w:u w:val="single"/>
        </w:rPr>
        <w:t xml:space="preserve">             {补充说明事项}         </w:t>
      </w:r>
    </w:p>
    <w:p>
      <w:pPr>
        <w:adjustRightInd w:val="0"/>
        <w:snapToGrid w:val="0"/>
        <w:spacing w:before="62" w:beforeLines="20" w:after="62" w:afterLines="20" w:line="360" w:lineRule="auto"/>
        <w:rPr>
          <w:rFonts w:hint="eastAsia" w:ascii="宋体" w:hAnsi="宋体" w:cs="宋体"/>
          <w:kern w:val="0"/>
          <w:sz w:val="24"/>
          <w:szCs w:val="20"/>
          <w:highlight w:val="none"/>
        </w:rPr>
      </w:pPr>
    </w:p>
    <w:p>
      <w:pPr>
        <w:adjustRightInd w:val="0"/>
        <w:snapToGrid w:val="0"/>
        <w:spacing w:before="62" w:beforeLines="20" w:after="62" w:afterLines="20" w:line="360" w:lineRule="auto"/>
        <w:rPr>
          <w:rFonts w:hint="eastAsia" w:ascii="宋体" w:hAnsi="宋体" w:cs="宋体"/>
          <w:kern w:val="0"/>
          <w:sz w:val="24"/>
          <w:szCs w:val="20"/>
          <w:highlight w:val="none"/>
        </w:rPr>
      </w:pPr>
    </w:p>
    <w:p>
      <w:pPr>
        <w:adjustRightInd w:val="0"/>
        <w:snapToGrid w:val="0"/>
        <w:spacing w:before="62" w:beforeLines="20" w:after="62" w:afterLines="20" w:line="360" w:lineRule="auto"/>
        <w:rPr>
          <w:rFonts w:hint="eastAsia" w:ascii="宋体" w:hAnsi="宋体" w:cs="宋体"/>
          <w:kern w:val="0"/>
          <w:sz w:val="24"/>
          <w:szCs w:val="20"/>
          <w:highlight w:val="none"/>
        </w:rPr>
      </w:pPr>
    </w:p>
    <w:p>
      <w:pPr>
        <w:adjustRightInd w:val="0"/>
        <w:snapToGrid w:val="0"/>
        <w:spacing w:before="62" w:beforeLines="20" w:after="62" w:afterLines="20" w:line="360" w:lineRule="auto"/>
        <w:rPr>
          <w:rFonts w:hint="eastAsia" w:ascii="宋体" w:hAnsi="宋体" w:cs="宋体"/>
          <w:kern w:val="0"/>
          <w:sz w:val="24"/>
          <w:szCs w:val="20"/>
          <w:highlight w:val="none"/>
          <w:u w:val="single"/>
        </w:rPr>
      </w:pPr>
      <w:r>
        <w:rPr>
          <w:rFonts w:hint="eastAsia" w:ascii="宋体" w:hAnsi="宋体" w:cs="宋体"/>
          <w:kern w:val="0"/>
          <w:sz w:val="24"/>
          <w:szCs w:val="20"/>
          <w:highlight w:val="none"/>
        </w:rPr>
        <w:t>投 标 人：</w:t>
      </w:r>
      <w:r>
        <w:rPr>
          <w:rFonts w:hint="eastAsia" w:ascii="宋体" w:hAnsi="宋体" w:cs="宋体"/>
          <w:kern w:val="0"/>
          <w:sz w:val="24"/>
          <w:szCs w:val="20"/>
          <w:highlight w:val="none"/>
          <w:u w:val="single"/>
        </w:rPr>
        <w:t xml:space="preserve">      名称   （盖章）  </w:t>
      </w:r>
      <w:r>
        <w:rPr>
          <w:rFonts w:hint="eastAsia" w:ascii="宋体" w:hAnsi="宋体" w:cs="宋体"/>
          <w:kern w:val="0"/>
          <w:sz w:val="24"/>
          <w:szCs w:val="20"/>
          <w:highlight w:val="none"/>
          <w:u w:val="single"/>
        </w:rPr>
        <w:tab/>
      </w:r>
      <w:r>
        <w:rPr>
          <w:rFonts w:hint="eastAsia" w:ascii="宋体" w:hAnsi="宋体" w:cs="宋体"/>
          <w:kern w:val="0"/>
          <w:sz w:val="24"/>
          <w:szCs w:val="20"/>
          <w:highlight w:val="none"/>
          <w:u w:val="single"/>
        </w:rPr>
        <w:tab/>
      </w:r>
      <w:r>
        <w:rPr>
          <w:rFonts w:hint="eastAsia" w:ascii="宋体" w:hAnsi="宋体" w:cs="宋体"/>
          <w:kern w:val="0"/>
          <w:sz w:val="24"/>
          <w:szCs w:val="20"/>
          <w:highlight w:val="none"/>
          <w:u w:val="single"/>
        </w:rPr>
        <w:tab/>
      </w:r>
    </w:p>
    <w:p>
      <w:pPr>
        <w:adjustRightInd w:val="0"/>
        <w:snapToGrid w:val="0"/>
        <w:spacing w:before="62" w:beforeLines="20" w:after="62" w:afterLines="20" w:line="360" w:lineRule="auto"/>
        <w:ind w:left="121" w:leftChars="11" w:hanging="98" w:hangingChars="41"/>
        <w:rPr>
          <w:rFonts w:hint="eastAsia" w:ascii="宋体" w:hAnsi="宋体" w:cs="宋体"/>
          <w:kern w:val="0"/>
          <w:sz w:val="24"/>
          <w:szCs w:val="20"/>
          <w:highlight w:val="none"/>
          <w:u w:val="single"/>
        </w:rPr>
      </w:pPr>
      <w:r>
        <w:rPr>
          <w:rFonts w:hint="eastAsia" w:ascii="宋体" w:hAnsi="宋体" w:cs="宋体"/>
          <w:kern w:val="0"/>
          <w:sz w:val="24"/>
          <w:szCs w:val="20"/>
          <w:highlight w:val="none"/>
        </w:rPr>
        <w:t>单位地址：</w:t>
      </w:r>
      <w:r>
        <w:rPr>
          <w:rFonts w:hint="eastAsia" w:ascii="宋体" w:hAnsi="宋体" w:cs="宋体"/>
          <w:kern w:val="0"/>
          <w:sz w:val="24"/>
          <w:szCs w:val="20"/>
          <w:highlight w:val="none"/>
        </w:rPr>
        <w:tab/>
      </w:r>
      <w:r>
        <w:rPr>
          <w:rFonts w:hint="eastAsia" w:ascii="宋体" w:hAnsi="宋体" w:cs="宋体"/>
          <w:kern w:val="0"/>
          <w:sz w:val="24"/>
          <w:szCs w:val="20"/>
          <w:highlight w:val="none"/>
          <w:u w:val="single"/>
        </w:rPr>
        <w:t xml:space="preserve">                                                    </w:t>
      </w:r>
    </w:p>
    <w:p>
      <w:pPr>
        <w:adjustRightInd w:val="0"/>
        <w:snapToGrid w:val="0"/>
        <w:spacing w:before="62" w:beforeLines="20" w:after="62" w:afterLines="20" w:line="360" w:lineRule="auto"/>
        <w:rPr>
          <w:rFonts w:hint="eastAsia" w:ascii="宋体" w:hAnsi="宋体" w:cs="宋体"/>
          <w:kern w:val="0"/>
          <w:sz w:val="24"/>
          <w:szCs w:val="20"/>
          <w:highlight w:val="none"/>
          <w:u w:val="single"/>
        </w:rPr>
      </w:pPr>
      <w:r>
        <w:rPr>
          <w:rFonts w:hint="eastAsia" w:ascii="宋体" w:hAnsi="宋体" w:cs="宋体"/>
          <w:kern w:val="0"/>
          <w:sz w:val="24"/>
          <w:szCs w:val="20"/>
          <w:highlight w:val="none"/>
        </w:rPr>
        <w:t>法定代表人或其委托代理人：</w:t>
      </w:r>
      <w:r>
        <w:rPr>
          <w:rFonts w:hint="eastAsia" w:ascii="宋体" w:hAnsi="宋体" w:cs="宋体"/>
          <w:kern w:val="0"/>
          <w:sz w:val="24"/>
          <w:szCs w:val="20"/>
          <w:highlight w:val="none"/>
          <w:u w:val="single"/>
        </w:rPr>
        <w:t xml:space="preserve">    （签字或盖章） </w:t>
      </w:r>
    </w:p>
    <w:p>
      <w:pPr>
        <w:adjustRightInd w:val="0"/>
        <w:snapToGrid w:val="0"/>
        <w:spacing w:before="62" w:beforeLines="20" w:after="62" w:afterLines="20" w:line="360" w:lineRule="auto"/>
        <w:rPr>
          <w:rFonts w:hint="eastAsia" w:ascii="宋体" w:hAnsi="宋体" w:cs="宋体"/>
          <w:kern w:val="0"/>
          <w:sz w:val="24"/>
          <w:szCs w:val="20"/>
          <w:highlight w:val="none"/>
        </w:rPr>
      </w:pPr>
      <w:r>
        <w:rPr>
          <w:rFonts w:hint="eastAsia" w:ascii="宋体" w:hAnsi="宋体" w:cs="宋体"/>
          <w:kern w:val="0"/>
          <w:sz w:val="24"/>
          <w:szCs w:val="20"/>
          <w:highlight w:val="none"/>
        </w:rPr>
        <w:t>邮政编码：</w:t>
      </w:r>
      <w:r>
        <w:rPr>
          <w:rFonts w:hint="eastAsia" w:ascii="宋体" w:hAnsi="宋体" w:cs="宋体"/>
          <w:kern w:val="0"/>
          <w:sz w:val="24"/>
          <w:szCs w:val="20"/>
          <w:highlight w:val="none"/>
          <w:u w:val="single"/>
        </w:rPr>
        <w:tab/>
      </w:r>
      <w:r>
        <w:rPr>
          <w:rFonts w:hint="eastAsia" w:ascii="宋体" w:hAnsi="宋体" w:cs="宋体"/>
          <w:kern w:val="0"/>
          <w:sz w:val="24"/>
          <w:szCs w:val="20"/>
          <w:highlight w:val="none"/>
          <w:u w:val="single"/>
        </w:rPr>
        <w:tab/>
      </w:r>
      <w:r>
        <w:rPr>
          <w:rFonts w:hint="eastAsia" w:ascii="宋体" w:hAnsi="宋体" w:cs="宋体"/>
          <w:kern w:val="0"/>
          <w:sz w:val="24"/>
          <w:szCs w:val="20"/>
          <w:highlight w:val="none"/>
        </w:rPr>
        <w:t>电话：</w:t>
      </w:r>
      <w:r>
        <w:rPr>
          <w:rFonts w:hint="eastAsia" w:ascii="宋体" w:hAnsi="宋体" w:cs="宋体"/>
          <w:kern w:val="0"/>
          <w:sz w:val="24"/>
          <w:szCs w:val="20"/>
          <w:highlight w:val="none"/>
          <w:u w:val="single"/>
        </w:rPr>
        <w:tab/>
      </w:r>
      <w:r>
        <w:rPr>
          <w:rFonts w:hint="eastAsia" w:ascii="宋体" w:hAnsi="宋体" w:cs="宋体"/>
          <w:kern w:val="0"/>
          <w:sz w:val="24"/>
          <w:szCs w:val="20"/>
          <w:highlight w:val="none"/>
          <w:u w:val="single"/>
        </w:rPr>
        <w:tab/>
      </w:r>
      <w:r>
        <w:rPr>
          <w:rFonts w:hint="eastAsia" w:ascii="宋体" w:hAnsi="宋体" w:cs="宋体"/>
          <w:kern w:val="0"/>
          <w:sz w:val="24"/>
          <w:szCs w:val="20"/>
          <w:highlight w:val="none"/>
        </w:rPr>
        <w:t xml:space="preserve"> 传真：</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 xml:space="preserve"> </w:t>
      </w:r>
      <w:r>
        <w:rPr>
          <w:rFonts w:hint="eastAsia" w:ascii="宋体" w:hAnsi="宋体" w:cs="宋体"/>
          <w:kern w:val="0"/>
          <w:sz w:val="24"/>
          <w:szCs w:val="20"/>
          <w:highlight w:val="none"/>
          <w:u w:val="single"/>
        </w:rPr>
        <w:t xml:space="preserve">  </w:t>
      </w:r>
    </w:p>
    <w:p>
      <w:pPr>
        <w:adjustRightInd w:val="0"/>
        <w:snapToGrid w:val="0"/>
        <w:spacing w:before="62" w:beforeLines="20" w:after="62" w:afterLines="20" w:line="360" w:lineRule="auto"/>
        <w:rPr>
          <w:rFonts w:hint="eastAsia" w:ascii="宋体" w:hAnsi="宋体" w:cs="宋体"/>
          <w:kern w:val="0"/>
          <w:sz w:val="24"/>
          <w:szCs w:val="20"/>
          <w:highlight w:val="none"/>
        </w:rPr>
      </w:pPr>
      <w:r>
        <w:rPr>
          <w:rFonts w:hint="eastAsia" w:ascii="宋体" w:hAnsi="宋体" w:cs="宋体"/>
          <w:kern w:val="0"/>
          <w:sz w:val="24"/>
          <w:szCs w:val="20"/>
          <w:highlight w:val="none"/>
        </w:rPr>
        <w:t>日期：</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日</w:t>
      </w:r>
    </w:p>
    <w:p>
      <w:pPr>
        <w:rPr>
          <w:rFonts w:ascii="宋体" w:hAnsi="宋体"/>
          <w:b/>
          <w:sz w:val="28"/>
          <w:szCs w:val="28"/>
          <w:highlight w:val="none"/>
        </w:rPr>
      </w:pPr>
      <w:r>
        <w:rPr>
          <w:rStyle w:val="34"/>
          <w:rFonts w:ascii="宋体" w:hAnsi="宋体"/>
          <w:sz w:val="24"/>
          <w:highlight w:val="none"/>
        </w:rPr>
        <w:br w:type="page"/>
      </w:r>
      <w:bookmarkStart w:id="19" w:name="_Toc383776356"/>
    </w:p>
    <w:p>
      <w:pPr>
        <w:pStyle w:val="28"/>
        <w:rPr>
          <w:rFonts w:ascii="宋体" w:hAnsi="宋体"/>
          <w:b/>
          <w:sz w:val="28"/>
          <w:szCs w:val="28"/>
          <w:highlight w:val="none"/>
        </w:rPr>
      </w:pPr>
    </w:p>
    <w:p>
      <w:pPr>
        <w:pStyle w:val="28"/>
        <w:rPr>
          <w:rFonts w:ascii="宋体" w:hAnsi="宋体" w:cs="华文仿宋"/>
          <w:b/>
          <w:sz w:val="28"/>
          <w:szCs w:val="28"/>
          <w:highlight w:val="none"/>
        </w:rPr>
      </w:pPr>
      <w:r>
        <w:rPr>
          <w:rFonts w:hint="eastAsia" w:ascii="宋体" w:hAnsi="宋体"/>
          <w:b/>
          <w:sz w:val="28"/>
          <w:szCs w:val="28"/>
          <w:highlight w:val="none"/>
        </w:rPr>
        <w:t>二、法定代表人授权书</w:t>
      </w:r>
      <w:bookmarkEnd w:id="19"/>
    </w:p>
    <w:p>
      <w:pPr>
        <w:spacing w:line="480" w:lineRule="auto"/>
        <w:rPr>
          <w:rFonts w:hint="eastAsia" w:ascii="宋体" w:hAnsi="宋体" w:eastAsia="宋体" w:cs="华文仿宋"/>
          <w:b/>
          <w:sz w:val="24"/>
          <w:highlight w:val="none"/>
          <w:lang w:eastAsia="zh-CN"/>
        </w:rPr>
      </w:pPr>
      <w:r>
        <w:rPr>
          <w:rFonts w:hint="eastAsia" w:ascii="宋体" w:hAnsi="宋体" w:cs="华文仿宋"/>
          <w:b/>
          <w:sz w:val="24"/>
          <w:highlight w:val="none"/>
        </w:rPr>
        <w:t>致：</w:t>
      </w:r>
      <w:r>
        <w:rPr>
          <w:rFonts w:hint="eastAsia" w:ascii="宋体" w:hAnsi="宋体" w:cs="华文仿宋"/>
          <w:b/>
          <w:sz w:val="24"/>
          <w:highlight w:val="none"/>
          <w:u w:val="single"/>
          <w:lang w:eastAsia="zh-CN"/>
        </w:rPr>
        <w:t>铜陵市郊区人民法院</w:t>
      </w:r>
    </w:p>
    <w:p>
      <w:pPr>
        <w:spacing w:line="480" w:lineRule="auto"/>
        <w:ind w:firstLine="480" w:firstLineChars="200"/>
        <w:rPr>
          <w:rFonts w:ascii="宋体" w:hAnsi="宋体" w:cs="华文仿宋"/>
          <w:sz w:val="24"/>
          <w:highlight w:val="none"/>
        </w:rPr>
      </w:pPr>
      <w:r>
        <w:rPr>
          <w:rFonts w:hint="eastAsia" w:ascii="宋体" w:hAnsi="宋体" w:cs="华文仿宋"/>
          <w:sz w:val="24"/>
          <w:highlight w:val="none"/>
        </w:rPr>
        <w:t>本授权书声明：</w:t>
      </w:r>
      <w:r>
        <w:rPr>
          <w:rFonts w:hint="eastAsia" w:ascii="宋体" w:hAnsi="宋体" w:cs="华文仿宋"/>
          <w:sz w:val="24"/>
          <w:highlight w:val="none"/>
          <w:u w:val="single"/>
          <w:lang w:val="en-US" w:eastAsia="zh-CN"/>
        </w:rPr>
        <w:t xml:space="preserve">        </w:t>
      </w:r>
      <w:r>
        <w:rPr>
          <w:rFonts w:hint="eastAsia" w:ascii="宋体" w:hAnsi="宋体" w:cs="华文仿宋"/>
          <w:sz w:val="24"/>
          <w:highlight w:val="none"/>
          <w:u w:val="single"/>
        </w:rPr>
        <w:t>（供应商名称）</w:t>
      </w:r>
      <w:r>
        <w:rPr>
          <w:rFonts w:hint="eastAsia" w:ascii="宋体" w:hAnsi="宋体" w:cs="华文仿宋"/>
          <w:sz w:val="24"/>
          <w:highlight w:val="none"/>
        </w:rPr>
        <w:t>的</w:t>
      </w:r>
      <w:r>
        <w:rPr>
          <w:rFonts w:hint="eastAsia" w:ascii="宋体" w:hAnsi="宋体" w:cs="华文仿宋"/>
          <w:sz w:val="24"/>
          <w:highlight w:val="none"/>
          <w:u w:val="single"/>
          <w:lang w:val="en-US" w:eastAsia="zh-CN"/>
        </w:rPr>
        <w:t xml:space="preserve">         </w:t>
      </w:r>
      <w:r>
        <w:rPr>
          <w:rFonts w:hint="eastAsia" w:ascii="宋体" w:hAnsi="宋体" w:cs="华文仿宋"/>
          <w:sz w:val="24"/>
          <w:highlight w:val="none"/>
          <w:u w:val="single"/>
        </w:rPr>
        <w:t>（法人代表姓名、职务）</w:t>
      </w:r>
      <w:r>
        <w:rPr>
          <w:rFonts w:hint="eastAsia" w:ascii="宋体" w:hAnsi="宋体" w:cs="华文仿宋"/>
          <w:sz w:val="24"/>
          <w:highlight w:val="none"/>
        </w:rPr>
        <w:t>授权</w:t>
      </w:r>
      <w:r>
        <w:rPr>
          <w:rFonts w:hint="eastAsia" w:ascii="宋体" w:hAnsi="宋体" w:cs="华文仿宋"/>
          <w:sz w:val="24"/>
          <w:highlight w:val="none"/>
          <w:u w:val="single"/>
          <w:lang w:val="en-US" w:eastAsia="zh-CN"/>
        </w:rPr>
        <w:t xml:space="preserve">      </w:t>
      </w:r>
      <w:r>
        <w:rPr>
          <w:rFonts w:hint="eastAsia" w:ascii="宋体" w:hAnsi="宋体" w:cs="华文仿宋"/>
          <w:sz w:val="24"/>
          <w:highlight w:val="none"/>
          <w:u w:val="single"/>
        </w:rPr>
        <w:t>（被授权人的姓名、职务）</w:t>
      </w:r>
      <w:r>
        <w:rPr>
          <w:rFonts w:hint="eastAsia" w:ascii="宋体" w:hAnsi="宋体" w:cs="华文仿宋"/>
          <w:sz w:val="24"/>
          <w:highlight w:val="none"/>
        </w:rPr>
        <w:t>为我方就＂</w:t>
      </w:r>
      <w:r>
        <w:rPr>
          <w:rFonts w:hint="eastAsia" w:ascii="宋体" w:hAnsi="宋体" w:cs="华文仿宋"/>
          <w:sz w:val="24"/>
          <w:highlight w:val="none"/>
          <w:u w:val="single"/>
          <w:lang w:val="en-US" w:eastAsia="zh-CN"/>
        </w:rPr>
        <w:t xml:space="preserve">     </w:t>
      </w:r>
      <w:r>
        <w:rPr>
          <w:rFonts w:hint="eastAsia" w:ascii="宋体" w:hAnsi="宋体" w:cs="华文仿宋"/>
          <w:sz w:val="24"/>
          <w:highlight w:val="none"/>
          <w:u w:val="single"/>
        </w:rPr>
        <w:t>（项目全称）</w:t>
      </w:r>
      <w:r>
        <w:rPr>
          <w:rFonts w:hint="eastAsia" w:ascii="宋体" w:hAnsi="宋体" w:cs="华文仿宋"/>
          <w:sz w:val="24"/>
          <w:highlight w:val="none"/>
        </w:rPr>
        <w:t>＂项目竞争性谈判活动的合法代理人，以我方名义全权处理与该项目响应、谈判、签订合同以及合同执行有关的一切事务。</w:t>
      </w:r>
    </w:p>
    <w:p>
      <w:pPr>
        <w:spacing w:line="480" w:lineRule="auto"/>
        <w:ind w:firstLine="480" w:firstLineChars="200"/>
        <w:rPr>
          <w:rFonts w:ascii="宋体" w:hAnsi="宋体" w:cs="华文仿宋"/>
          <w:sz w:val="24"/>
          <w:highlight w:val="none"/>
        </w:rPr>
      </w:pPr>
      <w:r>
        <w:rPr>
          <w:rFonts w:hint="eastAsia" w:ascii="宋体" w:hAnsi="宋体" w:cs="华文仿宋"/>
          <w:sz w:val="24"/>
          <w:highlight w:val="none"/>
        </w:rPr>
        <w:t>特此声明。</w:t>
      </w:r>
    </w:p>
    <w:p>
      <w:pPr>
        <w:spacing w:line="480" w:lineRule="auto"/>
        <w:ind w:firstLine="480" w:firstLineChars="200"/>
        <w:rPr>
          <w:rFonts w:ascii="宋体" w:hAnsi="宋体" w:cs="华文仿宋"/>
          <w:sz w:val="24"/>
          <w:highlight w:val="none"/>
        </w:rPr>
      </w:pPr>
    </w:p>
    <w:p>
      <w:pPr>
        <w:spacing w:line="480" w:lineRule="auto"/>
        <w:ind w:firstLine="480" w:firstLineChars="200"/>
        <w:rPr>
          <w:rFonts w:ascii="宋体" w:hAnsi="宋体" w:cs="华文仿宋"/>
          <w:sz w:val="24"/>
          <w:highlight w:val="none"/>
        </w:rPr>
      </w:pPr>
    </w:p>
    <w:p>
      <w:pPr>
        <w:spacing w:line="480" w:lineRule="auto"/>
        <w:ind w:firstLine="480" w:firstLineChars="200"/>
        <w:rPr>
          <w:rFonts w:ascii="宋体" w:hAnsi="宋体" w:cs="华文仿宋"/>
          <w:sz w:val="24"/>
          <w:highlight w:val="none"/>
          <w:u w:val="single"/>
        </w:rPr>
      </w:pPr>
      <w:r>
        <w:rPr>
          <w:rFonts w:hint="eastAsia" w:ascii="宋体" w:hAnsi="宋体" w:cs="华文仿宋"/>
          <w:sz w:val="24"/>
          <w:highlight w:val="none"/>
        </w:rPr>
        <w:t>法定代表人签字盖章：</w:t>
      </w:r>
    </w:p>
    <w:p>
      <w:pPr>
        <w:spacing w:line="480" w:lineRule="auto"/>
        <w:ind w:firstLine="480" w:firstLineChars="200"/>
        <w:rPr>
          <w:rFonts w:ascii="宋体" w:hAnsi="宋体" w:cs="华文仿宋"/>
          <w:sz w:val="24"/>
          <w:highlight w:val="none"/>
          <w:u w:val="single"/>
        </w:rPr>
      </w:pPr>
      <w:r>
        <w:rPr>
          <w:rFonts w:hint="eastAsia" w:ascii="宋体" w:hAnsi="宋体" w:cs="华文仿宋"/>
          <w:sz w:val="24"/>
          <w:highlight w:val="none"/>
        </w:rPr>
        <w:t>职    务：</w:t>
      </w:r>
    </w:p>
    <w:p>
      <w:pPr>
        <w:spacing w:line="480" w:lineRule="auto"/>
        <w:ind w:firstLine="480" w:firstLineChars="200"/>
        <w:rPr>
          <w:rFonts w:ascii="宋体" w:hAnsi="宋体" w:cs="华文仿宋"/>
          <w:sz w:val="24"/>
          <w:highlight w:val="none"/>
        </w:rPr>
      </w:pPr>
      <w:r>
        <w:rPr>
          <w:rFonts w:hint="eastAsia" w:ascii="宋体" w:hAnsi="宋体" w:cs="华文仿宋"/>
          <w:sz w:val="24"/>
          <w:highlight w:val="none"/>
        </w:rPr>
        <w:t>代理人（被授权人）签字盖章：</w:t>
      </w:r>
    </w:p>
    <w:p>
      <w:pPr>
        <w:spacing w:line="480" w:lineRule="auto"/>
        <w:ind w:firstLine="480" w:firstLineChars="200"/>
        <w:rPr>
          <w:rFonts w:ascii="宋体" w:hAnsi="宋体" w:cs="华文仿宋"/>
          <w:sz w:val="24"/>
          <w:highlight w:val="none"/>
        </w:rPr>
      </w:pPr>
      <w:r>
        <w:rPr>
          <w:rFonts w:hint="eastAsia" w:ascii="宋体" w:hAnsi="宋体" w:cs="华文仿宋"/>
          <w:sz w:val="24"/>
          <w:highlight w:val="none"/>
        </w:rPr>
        <w:t>职    务：</w:t>
      </w:r>
    </w:p>
    <w:p>
      <w:pPr>
        <w:spacing w:line="480" w:lineRule="auto"/>
        <w:ind w:firstLine="480" w:firstLineChars="200"/>
        <w:rPr>
          <w:rFonts w:ascii="宋体" w:hAnsi="宋体" w:cs="华文仿宋"/>
          <w:sz w:val="24"/>
          <w:highlight w:val="none"/>
        </w:rPr>
      </w:pPr>
      <w:r>
        <w:rPr>
          <w:rFonts w:hint="eastAsia" w:ascii="宋体" w:hAnsi="宋体" w:cs="华文仿宋"/>
          <w:sz w:val="24"/>
          <w:highlight w:val="none"/>
        </w:rPr>
        <w:t>供应商名称：</w:t>
      </w:r>
    </w:p>
    <w:p>
      <w:pPr>
        <w:spacing w:line="480" w:lineRule="auto"/>
        <w:ind w:firstLine="480" w:firstLineChars="200"/>
        <w:rPr>
          <w:rFonts w:ascii="宋体" w:hAnsi="宋体" w:cs="华文仿宋"/>
          <w:sz w:val="24"/>
          <w:highlight w:val="none"/>
        </w:rPr>
      </w:pPr>
      <w:r>
        <w:rPr>
          <w:rFonts w:hint="eastAsia" w:ascii="宋体" w:hAnsi="宋体" w:cs="华文仿宋"/>
          <w:sz w:val="24"/>
          <w:highlight w:val="none"/>
        </w:rPr>
        <w:t>（公章）</w:t>
      </w:r>
    </w:p>
    <w:p>
      <w:pPr>
        <w:spacing w:line="480" w:lineRule="auto"/>
        <w:ind w:firstLine="480" w:firstLineChars="200"/>
        <w:rPr>
          <w:rFonts w:ascii="宋体" w:hAnsi="宋体" w:cs="华文仿宋"/>
          <w:sz w:val="24"/>
          <w:highlight w:val="none"/>
          <w:u w:val="single"/>
        </w:rPr>
      </w:pPr>
      <w:r>
        <w:rPr>
          <w:rFonts w:hint="eastAsia" w:ascii="宋体" w:hAnsi="宋体" w:cs="华文仿宋"/>
          <w:sz w:val="24"/>
          <w:highlight w:val="none"/>
        </w:rPr>
        <w:t>日      期：</w:t>
      </w:r>
    </w:p>
    <w:p>
      <w:pPr>
        <w:pStyle w:val="4"/>
        <w:spacing w:before="0" w:after="0" w:line="480" w:lineRule="auto"/>
        <w:ind w:firstLine="480" w:firstLineChars="200"/>
        <w:rPr>
          <w:rFonts w:hint="default" w:ascii="宋体" w:hAnsi="宋体" w:eastAsia="宋体" w:cs="华文仿宋"/>
          <w:b w:val="0"/>
          <w:sz w:val="24"/>
          <w:highlight w:val="none"/>
        </w:rPr>
      </w:pPr>
      <w:r>
        <w:rPr>
          <w:rFonts w:ascii="宋体" w:hAnsi="宋体" w:eastAsia="宋体" w:cs="华文仿宋"/>
          <w:b w:val="0"/>
          <w:sz w:val="24"/>
          <w:highlight w:val="none"/>
        </w:rPr>
        <w:t>（提供供应商法定代表人、被授权代表人身份证复印件及手机号码）</w:t>
      </w:r>
    </w:p>
    <w:p>
      <w:pPr>
        <w:spacing w:line="360" w:lineRule="auto"/>
        <w:ind w:firstLine="560" w:firstLineChars="200"/>
        <w:jc w:val="center"/>
        <w:rPr>
          <w:rFonts w:ascii="宋体" w:hAnsi="宋体"/>
          <w:sz w:val="28"/>
          <w:szCs w:val="28"/>
          <w:highlight w:val="none"/>
        </w:rPr>
      </w:pPr>
    </w:p>
    <w:p>
      <w:pPr>
        <w:pStyle w:val="31"/>
        <w:ind w:firstLine="560"/>
        <w:rPr>
          <w:rFonts w:ascii="宋体" w:hAnsi="宋体"/>
          <w:sz w:val="28"/>
          <w:szCs w:val="28"/>
          <w:highlight w:val="none"/>
        </w:rPr>
        <w:sectPr>
          <w:footerReference r:id="rId7" w:type="first"/>
          <w:footerReference r:id="rId6" w:type="default"/>
          <w:pgSz w:w="11906" w:h="16838"/>
          <w:pgMar w:top="1440" w:right="1440" w:bottom="1440" w:left="1440" w:header="851" w:footer="992" w:gutter="0"/>
          <w:pgNumType w:fmt="decimal" w:start="1"/>
          <w:cols w:space="720" w:num="1"/>
          <w:titlePg/>
          <w:docGrid w:type="linesAndChars" w:linePitch="312" w:charSpace="0"/>
        </w:sectPr>
      </w:pPr>
    </w:p>
    <w:p>
      <w:pPr>
        <w:widowControl/>
        <w:snapToGrid w:val="0"/>
        <w:spacing w:before="226" w:after="226" w:line="360" w:lineRule="auto"/>
        <w:ind w:right="196"/>
        <w:jc w:val="center"/>
        <w:rPr>
          <w:rFonts w:ascii="宋体" w:hAnsi="宋体" w:cs="宋体"/>
          <w:b/>
          <w:sz w:val="30"/>
          <w:highlight w:val="none"/>
        </w:rPr>
      </w:pPr>
      <w:r>
        <w:rPr>
          <w:rFonts w:hint="eastAsia" w:ascii="宋体" w:hAnsi="宋体" w:cs="宋体"/>
          <w:b/>
          <w:sz w:val="30"/>
          <w:highlight w:val="none"/>
        </w:rPr>
        <w:t>三、资格审查证明材料</w:t>
      </w:r>
    </w:p>
    <w:p>
      <w:pPr>
        <w:ind w:left="2940" w:leftChars="1400"/>
        <w:jc w:val="left"/>
        <w:rPr>
          <w:rFonts w:ascii="宋体" w:hAnsi="宋体" w:cs="宋体"/>
          <w:b/>
          <w:sz w:val="30"/>
          <w:highlight w:val="none"/>
        </w:rPr>
      </w:pPr>
    </w:p>
    <w:p>
      <w:pPr>
        <w:ind w:left="2940" w:leftChars="1400"/>
        <w:jc w:val="left"/>
        <w:rPr>
          <w:rFonts w:ascii="宋体" w:hAnsi="宋体" w:cs="宋体"/>
          <w:b/>
          <w:sz w:val="30"/>
          <w:highlight w:val="none"/>
        </w:rPr>
      </w:pPr>
    </w:p>
    <w:p>
      <w:pPr>
        <w:ind w:left="2940" w:leftChars="1400"/>
        <w:jc w:val="left"/>
        <w:rPr>
          <w:rFonts w:ascii="宋体" w:hAnsi="宋体" w:cs="宋体"/>
          <w:b/>
          <w:sz w:val="30"/>
          <w:highlight w:val="none"/>
        </w:rPr>
      </w:pPr>
      <w:r>
        <w:rPr>
          <w:rFonts w:hint="eastAsia" w:ascii="宋体" w:hAnsi="宋体" w:cs="宋体"/>
          <w:b/>
          <w:sz w:val="30"/>
          <w:highlight w:val="none"/>
        </w:rPr>
        <w:t>1.营业执照</w:t>
      </w:r>
    </w:p>
    <w:p>
      <w:pPr>
        <w:ind w:left="2940" w:leftChars="1400"/>
        <w:jc w:val="left"/>
        <w:rPr>
          <w:rFonts w:ascii="宋体" w:hAnsi="宋体" w:cs="宋体"/>
          <w:b/>
          <w:sz w:val="30"/>
          <w:highlight w:val="none"/>
        </w:rPr>
      </w:pPr>
      <w:r>
        <w:rPr>
          <w:rFonts w:hint="eastAsia" w:ascii="宋体" w:hAnsi="宋体" w:cs="宋体"/>
          <w:b/>
          <w:sz w:val="30"/>
          <w:highlight w:val="none"/>
        </w:rPr>
        <w:t>2.其他资格证明材料</w:t>
      </w:r>
    </w:p>
    <w:p>
      <w:pPr>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widowControl/>
        <w:snapToGrid w:val="0"/>
        <w:spacing w:before="226" w:after="226" w:line="360" w:lineRule="auto"/>
        <w:ind w:right="196"/>
        <w:jc w:val="center"/>
        <w:rPr>
          <w:rFonts w:ascii="宋体" w:hAnsi="宋体" w:cs="宋体"/>
          <w:b/>
          <w:sz w:val="30"/>
          <w:highlight w:val="none"/>
        </w:rPr>
      </w:pPr>
      <w:r>
        <w:rPr>
          <w:rFonts w:hint="eastAsia" w:ascii="宋体" w:hAnsi="宋体" w:cs="宋体"/>
          <w:b/>
          <w:sz w:val="30"/>
          <w:highlight w:val="none"/>
          <w:lang w:eastAsia="zh-CN"/>
        </w:rPr>
        <w:t>四</w:t>
      </w:r>
      <w:r>
        <w:rPr>
          <w:rFonts w:hint="eastAsia" w:ascii="宋体" w:hAnsi="宋体" w:cs="宋体"/>
          <w:b/>
          <w:sz w:val="30"/>
          <w:highlight w:val="none"/>
        </w:rPr>
        <w:t>、谈判文件中规定必须的其他资料</w:t>
      </w:r>
    </w:p>
    <w:p>
      <w:pPr>
        <w:pStyle w:val="11"/>
        <w:rPr>
          <w:rFonts w:ascii="宋体" w:hAnsi="宋体" w:cs="宋体"/>
          <w:sz w:val="24"/>
          <w:highlight w:val="none"/>
        </w:rPr>
      </w:pPr>
    </w:p>
    <w:p>
      <w:pPr>
        <w:pStyle w:val="31"/>
        <w:ind w:firstLine="480"/>
        <w:rPr>
          <w:rFonts w:ascii="宋体" w:hAnsi="宋体"/>
          <w:sz w:val="24"/>
          <w:szCs w:val="24"/>
          <w:highlight w:val="none"/>
        </w:rPr>
        <w:sectPr>
          <w:pgSz w:w="11906" w:h="16838"/>
          <w:pgMar w:top="1440" w:right="1440" w:bottom="1440" w:left="1440" w:header="851" w:footer="992" w:gutter="0"/>
          <w:pgNumType w:fmt="decimal"/>
          <w:cols w:space="720" w:num="1"/>
          <w:titlePg/>
          <w:docGrid w:type="linesAndChars" w:linePitch="312" w:charSpace="0"/>
        </w:sectPr>
      </w:pPr>
    </w:p>
    <w:p>
      <w:pPr>
        <w:spacing w:line="360" w:lineRule="auto"/>
        <w:rPr>
          <w:highlight w:val="none"/>
        </w:rPr>
      </w:pPr>
      <w:bookmarkStart w:id="20" w:name="_Toc383776357"/>
      <w:r>
        <w:rPr>
          <w:rFonts w:hint="eastAsia" w:ascii="宋体" w:hAnsi="宋体"/>
          <w:sz w:val="28"/>
          <w:szCs w:val="28"/>
          <w:highlight w:val="none"/>
        </w:rPr>
        <w:t>（二）报价部分</w:t>
      </w:r>
    </w:p>
    <w:p>
      <w:pPr>
        <w:spacing w:line="360" w:lineRule="auto"/>
        <w:jc w:val="center"/>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投标报价说明</w:t>
      </w:r>
    </w:p>
    <w:p>
      <w:pPr>
        <w:spacing w:line="480" w:lineRule="auto"/>
        <w:jc w:val="left"/>
        <w:rPr>
          <w:rFonts w:hint="eastAsia" w:ascii="仿宋_GB2312" w:hAnsi="宋体" w:cs="Times New Roman"/>
          <w:sz w:val="28"/>
          <w:szCs w:val="28"/>
          <w:highlight w:val="none"/>
        </w:rPr>
      </w:pPr>
      <w:r>
        <w:rPr>
          <w:rFonts w:hint="eastAsia" w:ascii="仿宋_GB2312" w:hAnsi="宋体" w:cs="Times New Roman"/>
          <w:sz w:val="28"/>
          <w:szCs w:val="28"/>
          <w:highlight w:val="none"/>
        </w:rPr>
        <w:t>1.本报价依据本工程投标须知和合同文件的有关条款进行编制。</w:t>
      </w:r>
    </w:p>
    <w:p>
      <w:pPr>
        <w:spacing w:line="480" w:lineRule="auto"/>
        <w:jc w:val="left"/>
        <w:rPr>
          <w:rFonts w:hint="eastAsia" w:ascii="仿宋_GB2312" w:hAnsi="宋体" w:cs="Times New Roman"/>
          <w:sz w:val="28"/>
          <w:szCs w:val="28"/>
          <w:highlight w:val="none"/>
        </w:rPr>
      </w:pPr>
      <w:r>
        <w:rPr>
          <w:rFonts w:hint="eastAsia" w:ascii="仿宋_GB2312" w:hAnsi="宋体" w:cs="Times New Roman"/>
          <w:sz w:val="28"/>
          <w:szCs w:val="28"/>
          <w:highlight w:val="none"/>
        </w:rPr>
        <w:t>2.工程量清单报价表中所填入的综合单价和合价，均包括人工费、材料费、机械费、管理费、利润、施工期内的风险金等全部费用。</w:t>
      </w:r>
    </w:p>
    <w:p>
      <w:pPr>
        <w:spacing w:line="480" w:lineRule="auto"/>
        <w:jc w:val="left"/>
        <w:rPr>
          <w:rFonts w:hint="eastAsia" w:ascii="仿宋_GB2312" w:hAnsi="宋体" w:cs="Times New Roman"/>
          <w:sz w:val="28"/>
          <w:szCs w:val="28"/>
          <w:highlight w:val="none"/>
        </w:rPr>
      </w:pPr>
      <w:r>
        <w:rPr>
          <w:rFonts w:hint="eastAsia" w:ascii="仿宋_GB2312" w:hAnsi="宋体" w:cs="Times New Roman"/>
          <w:sz w:val="28"/>
          <w:szCs w:val="28"/>
          <w:highlight w:val="none"/>
        </w:rPr>
        <w:t>3.措施项目报价表中所填入的措施项目报价，包括采用的各种措施的费用。</w:t>
      </w:r>
    </w:p>
    <w:p>
      <w:pPr>
        <w:spacing w:line="480" w:lineRule="auto"/>
        <w:jc w:val="left"/>
        <w:rPr>
          <w:rFonts w:hint="eastAsia" w:ascii="仿宋_GB2312" w:hAnsi="宋体" w:cs="Times New Roman"/>
          <w:sz w:val="28"/>
          <w:szCs w:val="28"/>
          <w:highlight w:val="none"/>
        </w:rPr>
      </w:pPr>
      <w:r>
        <w:rPr>
          <w:rFonts w:hint="eastAsia" w:ascii="仿宋_GB2312" w:hAnsi="宋体" w:cs="Times New Roman"/>
          <w:sz w:val="28"/>
          <w:szCs w:val="28"/>
          <w:highlight w:val="none"/>
        </w:rPr>
        <w:t>4.其他项目报价表中所填入的其他项目报价，包括工程量清单报价表和措施项目报价表以外的，为完成本工程项目的施工所必须发生的其他费用。</w:t>
      </w:r>
    </w:p>
    <w:p>
      <w:pPr>
        <w:spacing w:line="480" w:lineRule="auto"/>
        <w:jc w:val="left"/>
        <w:rPr>
          <w:rFonts w:hint="eastAsia" w:ascii="仿宋_GB2312" w:hAnsi="宋体" w:cs="Times New Roman"/>
          <w:sz w:val="28"/>
          <w:szCs w:val="28"/>
          <w:highlight w:val="none"/>
        </w:rPr>
      </w:pPr>
      <w:r>
        <w:rPr>
          <w:rFonts w:hint="eastAsia" w:ascii="仿宋_GB2312" w:hAnsi="宋体" w:cs="Times New Roman"/>
          <w:sz w:val="28"/>
          <w:szCs w:val="28"/>
          <w:highlight w:val="none"/>
        </w:rPr>
        <w:t>5.本工程量清单报价表中的每一单项均应填写单价和合价，对没有填写单价和合价的项目费用，视为已包括在工程量清单的其他单价或合价之中。</w:t>
      </w:r>
    </w:p>
    <w:p>
      <w:pPr>
        <w:spacing w:line="480" w:lineRule="auto"/>
        <w:jc w:val="left"/>
        <w:rPr>
          <w:rFonts w:hint="eastAsia" w:ascii="仿宋_GB2312" w:hAnsi="宋体" w:cs="Times New Roman"/>
          <w:sz w:val="28"/>
          <w:szCs w:val="28"/>
          <w:highlight w:val="none"/>
        </w:rPr>
      </w:pPr>
      <w:r>
        <w:rPr>
          <w:rFonts w:hint="eastAsia" w:ascii="仿宋_GB2312" w:hAnsi="宋体" w:cs="Times New Roman"/>
          <w:sz w:val="28"/>
          <w:szCs w:val="28"/>
          <w:highlight w:val="none"/>
        </w:rPr>
        <w:t>6.本报价的币种为</w:t>
      </w:r>
      <w:r>
        <w:rPr>
          <w:rFonts w:hint="eastAsia" w:ascii="仿宋_GB2312" w:hAnsi="宋体" w:cs="Times New Roman"/>
          <w:sz w:val="28"/>
          <w:szCs w:val="28"/>
          <w:highlight w:val="none"/>
          <w:u w:val="single"/>
        </w:rPr>
        <w:t xml:space="preserve"> 人民币 </w:t>
      </w:r>
      <w:r>
        <w:rPr>
          <w:rFonts w:hint="eastAsia" w:ascii="仿宋_GB2312" w:hAnsi="宋体" w:cs="Times New Roman"/>
          <w:sz w:val="28"/>
          <w:szCs w:val="28"/>
          <w:highlight w:val="none"/>
        </w:rPr>
        <w:t>。</w:t>
      </w:r>
    </w:p>
    <w:p>
      <w:pPr>
        <w:spacing w:line="480" w:lineRule="auto"/>
        <w:jc w:val="left"/>
        <w:rPr>
          <w:rFonts w:hint="eastAsia" w:ascii="仿宋_GB2312" w:hAnsi="宋体" w:cs="Times New Roman"/>
          <w:sz w:val="28"/>
          <w:szCs w:val="28"/>
          <w:highlight w:val="none"/>
        </w:rPr>
      </w:pPr>
      <w:r>
        <w:rPr>
          <w:rFonts w:hint="eastAsia" w:ascii="仿宋_GB2312" w:hAnsi="宋体" w:cs="Times New Roman"/>
          <w:sz w:val="28"/>
          <w:szCs w:val="28"/>
          <w:highlight w:val="none"/>
        </w:rPr>
        <w:t>7.投标人应将投标报价需要说明的事项，用文字书写与投标报价表一并报送</w:t>
      </w:r>
    </w:p>
    <w:p>
      <w:pPr>
        <w:rPr>
          <w:rFonts w:ascii="宋体" w:hAnsi="宋体"/>
          <w:b/>
          <w:sz w:val="28"/>
          <w:szCs w:val="28"/>
          <w:highlight w:val="none"/>
        </w:rPr>
      </w:pPr>
      <w:r>
        <w:rPr>
          <w:rFonts w:ascii="宋体" w:hAnsi="宋体"/>
          <w:b/>
          <w:sz w:val="28"/>
          <w:szCs w:val="28"/>
          <w:highlight w:val="none"/>
        </w:rPr>
        <w:br w:type="page"/>
      </w:r>
    </w:p>
    <w:p>
      <w:pPr>
        <w:pStyle w:val="2"/>
      </w:pPr>
    </w:p>
    <w:p>
      <w:pPr>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谈判响应报价表</w:t>
      </w:r>
      <w:bookmarkEnd w:id="20"/>
    </w:p>
    <w:p>
      <w:pPr>
        <w:pStyle w:val="2"/>
      </w:pPr>
    </w:p>
    <w:tbl>
      <w:tblPr>
        <w:tblStyle w:val="20"/>
        <w:tblW w:w="91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981"/>
        <w:gridCol w:w="3101"/>
        <w:gridCol w:w="1869"/>
        <w:gridCol w:w="22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exact"/>
          <w:jc w:val="center"/>
        </w:trPr>
        <w:tc>
          <w:tcPr>
            <w:tcW w:w="1981"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项目名称</w:t>
            </w:r>
          </w:p>
        </w:tc>
        <w:tc>
          <w:tcPr>
            <w:tcW w:w="3101"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p>
        </w:tc>
        <w:tc>
          <w:tcPr>
            <w:tcW w:w="1869"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项目编号</w:t>
            </w:r>
          </w:p>
        </w:tc>
        <w:tc>
          <w:tcPr>
            <w:tcW w:w="2240"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1981"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谈判响应单位名称</w:t>
            </w:r>
          </w:p>
        </w:tc>
        <w:tc>
          <w:tcPr>
            <w:tcW w:w="7210" w:type="dxa"/>
            <w:gridSpan w:val="3"/>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0" w:hRule="atLeast"/>
          <w:jc w:val="center"/>
        </w:trPr>
        <w:tc>
          <w:tcPr>
            <w:tcW w:w="1981"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谈判报价</w:t>
            </w:r>
          </w:p>
        </w:tc>
        <w:tc>
          <w:tcPr>
            <w:tcW w:w="7210" w:type="dxa"/>
            <w:gridSpan w:val="3"/>
            <w:tcBorders>
              <w:top w:val="single" w:color="auto" w:sz="8" w:space="0"/>
              <w:left w:val="single" w:color="auto" w:sz="8" w:space="0"/>
              <w:bottom w:val="single" w:color="auto" w:sz="8" w:space="0"/>
              <w:right w:val="single" w:color="auto" w:sz="8" w:space="0"/>
            </w:tcBorders>
            <w:vAlign w:val="center"/>
          </w:tcPr>
          <w:p>
            <w:pPr>
              <w:snapToGrid w:val="0"/>
              <w:spacing w:line="360" w:lineRule="auto"/>
              <w:ind w:firstLine="120" w:firstLineChars="50"/>
              <w:rPr>
                <w:rFonts w:hint="eastAsia" w:ascii="宋体" w:hAnsi="宋体" w:eastAsia="宋体" w:cs="宋体"/>
                <w:sz w:val="24"/>
                <w:highlight w:val="none"/>
                <w:lang w:eastAsia="zh-CN"/>
              </w:rPr>
            </w:pPr>
            <w:r>
              <w:rPr>
                <w:rFonts w:hint="eastAsia" w:ascii="宋体" w:hAnsi="宋体" w:cs="宋体"/>
                <w:sz w:val="24"/>
                <w:highlight w:val="none"/>
              </w:rPr>
              <w:t>谈判报价：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w:t>
            </w:r>
            <w:r>
              <w:rPr>
                <w:rFonts w:hint="eastAsia" w:ascii="宋体" w:hAnsi="宋体" w:cs="宋体"/>
                <w:sz w:val="24"/>
                <w:highlight w:val="none"/>
                <w:lang w:eastAsia="zh-CN"/>
              </w:rPr>
              <w:t>（小写）</w:t>
            </w:r>
          </w:p>
          <w:p>
            <w:pPr>
              <w:pStyle w:val="2"/>
              <w:rPr>
                <w:rFonts w:hint="default" w:eastAsia="宋体"/>
                <w:lang w:val="en-US" w:eastAsia="zh-CN"/>
              </w:rPr>
            </w:pPr>
            <w:r>
              <w:rPr>
                <w:rFonts w:hint="eastAsia" w:ascii="宋体" w:hAnsi="宋体" w:cs="宋体"/>
                <w:sz w:val="24"/>
                <w:highlight w:val="non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元人民币（大写）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89" w:hRule="atLeast"/>
          <w:jc w:val="center"/>
        </w:trPr>
        <w:tc>
          <w:tcPr>
            <w:tcW w:w="1981"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备注</w:t>
            </w:r>
          </w:p>
        </w:tc>
        <w:tc>
          <w:tcPr>
            <w:tcW w:w="7210" w:type="dxa"/>
            <w:gridSpan w:val="3"/>
            <w:tcBorders>
              <w:top w:val="single" w:color="auto" w:sz="8" w:space="0"/>
              <w:left w:val="single" w:color="auto" w:sz="8" w:space="0"/>
              <w:bottom w:val="single" w:color="auto" w:sz="8" w:space="0"/>
              <w:right w:val="single" w:color="auto" w:sz="8" w:space="0"/>
            </w:tcBorders>
            <w:vAlign w:val="center"/>
          </w:tcPr>
          <w:p>
            <w:pPr>
              <w:snapToGrid w:val="0"/>
              <w:spacing w:line="360" w:lineRule="auto"/>
              <w:rPr>
                <w:rFonts w:ascii="宋体" w:hAnsi="宋体" w:cs="宋体"/>
                <w:sz w:val="24"/>
                <w:highlight w:val="none"/>
              </w:rPr>
            </w:pPr>
            <w:r>
              <w:rPr>
                <w:rFonts w:hint="eastAsia" w:ascii="宋体" w:hAnsi="宋体" w:cs="宋体"/>
                <w:sz w:val="24"/>
                <w:highlight w:val="none"/>
              </w:rPr>
              <w:t>1、本投标报价必须以人民币的形式表示。</w:t>
            </w:r>
          </w:p>
          <w:p>
            <w:pPr>
              <w:snapToGrid w:val="0"/>
              <w:spacing w:line="360" w:lineRule="auto"/>
              <w:rPr>
                <w:rFonts w:ascii="宋体" w:hAnsi="宋体" w:cs="宋体"/>
                <w:sz w:val="24"/>
                <w:highlight w:val="none"/>
              </w:rPr>
            </w:pPr>
            <w:r>
              <w:rPr>
                <w:rFonts w:hint="eastAsia" w:ascii="宋体" w:hAnsi="宋体" w:cs="宋体"/>
                <w:sz w:val="24"/>
                <w:highlight w:val="none"/>
              </w:rPr>
              <w:t>2、投标总报价包括各项措施费用以及风险费用、管理费、利润、税金等所需的一切费用。</w:t>
            </w:r>
          </w:p>
        </w:tc>
      </w:tr>
    </w:tbl>
    <w:p>
      <w:pPr>
        <w:snapToGrid w:val="0"/>
        <w:spacing w:line="360" w:lineRule="auto"/>
        <w:jc w:val="left"/>
        <w:rPr>
          <w:rFonts w:ascii="宋体" w:hAnsi="宋体" w:cs="宋体"/>
          <w:sz w:val="24"/>
          <w:highlight w:val="none"/>
        </w:rPr>
      </w:pPr>
    </w:p>
    <w:p>
      <w:pPr>
        <w:snapToGrid w:val="0"/>
        <w:spacing w:line="360" w:lineRule="auto"/>
        <w:jc w:val="left"/>
        <w:rPr>
          <w:rFonts w:ascii="宋体" w:hAnsi="宋体" w:cs="宋体"/>
          <w:sz w:val="24"/>
          <w:highlight w:val="none"/>
          <w:u w:val="single"/>
        </w:rPr>
      </w:pPr>
      <w:r>
        <w:rPr>
          <w:rFonts w:hint="eastAsia" w:ascii="宋体" w:hAnsi="宋体" w:cs="宋体"/>
          <w:sz w:val="24"/>
          <w:highlight w:val="none"/>
        </w:rPr>
        <w:t>谈判响应单位名称（盖章）：</w:t>
      </w:r>
    </w:p>
    <w:p>
      <w:pPr>
        <w:snapToGrid w:val="0"/>
        <w:spacing w:line="360" w:lineRule="auto"/>
        <w:rPr>
          <w:rFonts w:ascii="宋体" w:hAnsi="宋体" w:cs="宋体"/>
          <w:sz w:val="24"/>
          <w:highlight w:val="none"/>
        </w:rPr>
      </w:pPr>
      <w:r>
        <w:rPr>
          <w:rFonts w:hint="eastAsia" w:ascii="宋体" w:hAnsi="宋体" w:cs="宋体"/>
          <w:sz w:val="24"/>
          <w:highlight w:val="none"/>
        </w:rPr>
        <w:t>法人或被授权人（签字或盖章）：</w:t>
      </w:r>
    </w:p>
    <w:p>
      <w:pPr>
        <w:snapToGrid w:val="0"/>
        <w:spacing w:line="360" w:lineRule="auto"/>
        <w:rPr>
          <w:sz w:val="24"/>
          <w:highlight w:val="none"/>
        </w:rPr>
      </w:pPr>
      <w:r>
        <w:rPr>
          <w:rFonts w:hint="eastAsia" w:ascii="宋体" w:hAnsi="宋体" w:cs="宋体"/>
          <w:sz w:val="24"/>
          <w:highlight w:val="none"/>
        </w:rPr>
        <w:t>日期：</w:t>
      </w:r>
    </w:p>
    <w:p>
      <w:pPr>
        <w:snapToGrid w:val="0"/>
        <w:spacing w:line="360" w:lineRule="auto"/>
        <w:jc w:val="center"/>
        <w:rPr>
          <w:rFonts w:ascii="宋体" w:hAnsi="宋体" w:cs="宋体"/>
          <w:b/>
          <w:bCs/>
          <w:sz w:val="32"/>
          <w:szCs w:val="32"/>
          <w:highlight w:val="none"/>
        </w:rPr>
      </w:pPr>
    </w:p>
    <w:p>
      <w:pPr>
        <w:snapToGrid w:val="0"/>
        <w:spacing w:line="360" w:lineRule="auto"/>
        <w:jc w:val="center"/>
        <w:rPr>
          <w:rFonts w:ascii="宋体" w:hAnsi="宋体" w:cs="宋体"/>
          <w:b/>
          <w:bCs/>
          <w:sz w:val="32"/>
          <w:szCs w:val="32"/>
          <w:highlight w:val="none"/>
        </w:rPr>
      </w:pPr>
    </w:p>
    <w:p>
      <w:pPr>
        <w:snapToGrid w:val="0"/>
        <w:spacing w:line="360" w:lineRule="auto"/>
        <w:jc w:val="center"/>
        <w:rPr>
          <w:rFonts w:ascii="宋体" w:hAnsi="宋体" w:cs="宋体"/>
          <w:b/>
          <w:bCs/>
          <w:sz w:val="32"/>
          <w:szCs w:val="32"/>
          <w:highlight w:val="none"/>
        </w:rPr>
      </w:pPr>
    </w:p>
    <w:p>
      <w:pPr>
        <w:snapToGrid w:val="0"/>
        <w:spacing w:line="360" w:lineRule="auto"/>
        <w:jc w:val="center"/>
        <w:rPr>
          <w:rFonts w:ascii="宋体" w:hAnsi="宋体" w:cs="宋体"/>
          <w:b/>
          <w:bCs/>
          <w:sz w:val="32"/>
          <w:szCs w:val="32"/>
          <w:highlight w:val="none"/>
        </w:rPr>
      </w:pPr>
    </w:p>
    <w:p>
      <w:pPr>
        <w:rPr>
          <w:highlight w:val="none"/>
        </w:rPr>
      </w:pPr>
      <w:r>
        <w:rPr>
          <w:rFonts w:ascii="宋体" w:hAnsi="宋体" w:cs="宋体"/>
          <w:b/>
          <w:bCs/>
          <w:sz w:val="32"/>
          <w:szCs w:val="32"/>
          <w:highlight w:val="none"/>
        </w:rPr>
        <w:br w:type="page"/>
      </w:r>
    </w:p>
    <w:p>
      <w:pPr>
        <w:spacing w:line="360" w:lineRule="auto"/>
        <w:ind w:firstLine="602" w:firstLineChars="200"/>
        <w:jc w:val="center"/>
        <w:rPr>
          <w:rFonts w:ascii="宋体" w:hAnsi="宋体" w:cs="宋体"/>
          <w:b/>
          <w:bCs/>
          <w:sz w:val="30"/>
          <w:szCs w:val="30"/>
          <w:highlight w:val="none"/>
        </w:rPr>
      </w:pPr>
      <w:r>
        <w:rPr>
          <w:rFonts w:hint="eastAsia" w:ascii="宋体" w:hAnsi="宋体"/>
          <w:b/>
          <w:sz w:val="30"/>
          <w:szCs w:val="30"/>
          <w:highlight w:val="none"/>
        </w:rPr>
        <w:t>谈判响应最终报价表</w:t>
      </w:r>
    </w:p>
    <w:p>
      <w:pPr>
        <w:snapToGrid w:val="0"/>
        <w:spacing w:line="360" w:lineRule="auto"/>
        <w:jc w:val="center"/>
        <w:rPr>
          <w:rFonts w:ascii="宋体" w:hAnsi="宋体" w:cs="宋体"/>
          <w:b/>
          <w:bCs/>
          <w:sz w:val="32"/>
          <w:szCs w:val="32"/>
          <w:highlight w:val="none"/>
        </w:rPr>
      </w:pPr>
      <w:r>
        <w:rPr>
          <w:rFonts w:hint="eastAsia" w:ascii="宋体" w:hAnsi="宋体" w:cs="宋体"/>
          <w:sz w:val="24"/>
          <w:highlight w:val="none"/>
        </w:rPr>
        <w:t>（此表由谈判响应人手持，不密封在谈判响应文件中。在谈判结束后进行最终报价时现场填写）</w:t>
      </w:r>
    </w:p>
    <w:tbl>
      <w:tblPr>
        <w:tblStyle w:val="20"/>
        <w:tblW w:w="91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241"/>
        <w:gridCol w:w="2841"/>
        <w:gridCol w:w="1869"/>
        <w:gridCol w:w="22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90" w:hRule="exact"/>
          <w:jc w:val="center"/>
        </w:trPr>
        <w:tc>
          <w:tcPr>
            <w:tcW w:w="2241"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项目名称</w:t>
            </w:r>
          </w:p>
        </w:tc>
        <w:tc>
          <w:tcPr>
            <w:tcW w:w="2841"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p>
        </w:tc>
        <w:tc>
          <w:tcPr>
            <w:tcW w:w="1869"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项目编号</w:t>
            </w:r>
          </w:p>
        </w:tc>
        <w:tc>
          <w:tcPr>
            <w:tcW w:w="2240"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0" w:hRule="exact"/>
          <w:jc w:val="center"/>
        </w:trPr>
        <w:tc>
          <w:tcPr>
            <w:tcW w:w="2241"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谈判响应单位名称</w:t>
            </w:r>
          </w:p>
        </w:tc>
        <w:tc>
          <w:tcPr>
            <w:tcW w:w="6950" w:type="dxa"/>
            <w:gridSpan w:val="3"/>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2241"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r>
              <w:rPr>
                <w:rFonts w:hint="eastAsia" w:ascii="宋体" w:hAnsi="宋体" w:cs="宋体"/>
                <w:b/>
                <w:sz w:val="24"/>
                <w:highlight w:val="none"/>
              </w:rPr>
              <w:t>最终</w:t>
            </w:r>
            <w:r>
              <w:rPr>
                <w:rFonts w:hint="eastAsia" w:ascii="宋体" w:hAnsi="宋体" w:cs="宋体"/>
                <w:sz w:val="24"/>
                <w:highlight w:val="none"/>
              </w:rPr>
              <w:t>谈判报价</w:t>
            </w:r>
          </w:p>
        </w:tc>
        <w:tc>
          <w:tcPr>
            <w:tcW w:w="6950" w:type="dxa"/>
            <w:gridSpan w:val="3"/>
            <w:tcBorders>
              <w:top w:val="single" w:color="auto" w:sz="8" w:space="0"/>
              <w:left w:val="single" w:color="auto" w:sz="8" w:space="0"/>
              <w:bottom w:val="single" w:color="auto" w:sz="8" w:space="0"/>
              <w:right w:val="single" w:color="auto" w:sz="8" w:space="0"/>
            </w:tcBorders>
            <w:vAlign w:val="center"/>
          </w:tcPr>
          <w:p>
            <w:pPr>
              <w:snapToGrid w:val="0"/>
              <w:spacing w:line="360" w:lineRule="auto"/>
              <w:ind w:firstLine="120" w:firstLineChars="50"/>
              <w:rPr>
                <w:rFonts w:hint="eastAsia" w:ascii="宋体" w:hAnsi="宋体" w:eastAsia="宋体" w:cs="宋体"/>
                <w:sz w:val="24"/>
                <w:highlight w:val="none"/>
                <w:lang w:eastAsia="zh-CN"/>
              </w:rPr>
            </w:pPr>
            <w:r>
              <w:rPr>
                <w:rFonts w:hint="eastAsia" w:ascii="宋体" w:hAnsi="宋体" w:cs="宋体"/>
                <w:b/>
                <w:sz w:val="24"/>
                <w:highlight w:val="none"/>
              </w:rPr>
              <w:t>最终</w:t>
            </w:r>
            <w:r>
              <w:rPr>
                <w:rFonts w:hint="eastAsia" w:ascii="宋体" w:hAnsi="宋体" w:cs="宋体"/>
                <w:sz w:val="24"/>
                <w:highlight w:val="none"/>
              </w:rPr>
              <w:t>谈判报价：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w:t>
            </w:r>
            <w:r>
              <w:rPr>
                <w:rFonts w:hint="eastAsia" w:ascii="宋体" w:hAnsi="宋体" w:cs="宋体"/>
                <w:sz w:val="24"/>
                <w:highlight w:val="none"/>
                <w:lang w:eastAsia="zh-CN"/>
              </w:rPr>
              <w:t>（小写）</w:t>
            </w:r>
          </w:p>
          <w:p>
            <w:pPr>
              <w:pStyle w:val="2"/>
              <w:rPr>
                <w:rFonts w:hint="default" w:eastAsia="宋体"/>
                <w:lang w:val="en-US" w:eastAsia="zh-CN"/>
              </w:rPr>
            </w:pPr>
            <w:r>
              <w:rPr>
                <w:rFonts w:hint="eastAsia" w:ascii="宋体" w:hAnsi="宋体" w:cs="宋体"/>
                <w:sz w:val="24"/>
                <w:highlight w:val="non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元人民币（大写）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jc w:val="center"/>
        </w:trPr>
        <w:tc>
          <w:tcPr>
            <w:tcW w:w="2241"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备注</w:t>
            </w:r>
          </w:p>
        </w:tc>
        <w:tc>
          <w:tcPr>
            <w:tcW w:w="6950" w:type="dxa"/>
            <w:gridSpan w:val="3"/>
            <w:tcBorders>
              <w:top w:val="single" w:color="auto" w:sz="8" w:space="0"/>
              <w:left w:val="single" w:color="auto" w:sz="8" w:space="0"/>
              <w:bottom w:val="single" w:color="auto" w:sz="8" w:space="0"/>
              <w:right w:val="single" w:color="auto" w:sz="8" w:space="0"/>
            </w:tcBorders>
            <w:vAlign w:val="center"/>
          </w:tcPr>
          <w:p>
            <w:pPr>
              <w:snapToGrid w:val="0"/>
              <w:spacing w:line="360" w:lineRule="auto"/>
              <w:rPr>
                <w:rFonts w:ascii="宋体" w:hAnsi="宋体" w:cs="宋体"/>
                <w:sz w:val="24"/>
                <w:highlight w:val="none"/>
              </w:rPr>
            </w:pPr>
            <w:r>
              <w:rPr>
                <w:rFonts w:hint="eastAsia" w:ascii="宋体" w:hAnsi="宋体" w:cs="宋体"/>
                <w:sz w:val="24"/>
                <w:highlight w:val="none"/>
              </w:rPr>
              <w:t>1、本投标报价必须以人民币的形式表示。</w:t>
            </w:r>
          </w:p>
          <w:p>
            <w:pPr>
              <w:snapToGrid w:val="0"/>
              <w:spacing w:line="360" w:lineRule="auto"/>
              <w:rPr>
                <w:rFonts w:ascii="宋体" w:hAnsi="宋体" w:cs="宋体"/>
                <w:sz w:val="24"/>
                <w:highlight w:val="none"/>
              </w:rPr>
            </w:pPr>
            <w:r>
              <w:rPr>
                <w:rFonts w:hint="eastAsia" w:ascii="宋体" w:hAnsi="宋体" w:cs="宋体"/>
                <w:sz w:val="24"/>
                <w:highlight w:val="none"/>
              </w:rPr>
              <w:t>2、投标总报价包括采购各项措施费用以及风险费用、管理费、利润、税金等所需的一切费用。</w:t>
            </w:r>
          </w:p>
        </w:tc>
      </w:tr>
    </w:tbl>
    <w:p>
      <w:pPr>
        <w:snapToGrid w:val="0"/>
        <w:spacing w:line="360" w:lineRule="auto"/>
        <w:jc w:val="left"/>
        <w:rPr>
          <w:rFonts w:ascii="宋体" w:hAnsi="宋体" w:cs="宋体"/>
          <w:sz w:val="24"/>
          <w:highlight w:val="none"/>
        </w:rPr>
      </w:pPr>
    </w:p>
    <w:p>
      <w:pPr>
        <w:snapToGrid w:val="0"/>
        <w:spacing w:line="360" w:lineRule="auto"/>
        <w:jc w:val="left"/>
        <w:rPr>
          <w:rFonts w:ascii="宋体" w:hAnsi="宋体" w:cs="宋体"/>
          <w:sz w:val="24"/>
          <w:highlight w:val="none"/>
        </w:rPr>
      </w:pPr>
    </w:p>
    <w:p>
      <w:pPr>
        <w:snapToGrid w:val="0"/>
        <w:spacing w:line="360" w:lineRule="auto"/>
        <w:jc w:val="left"/>
        <w:rPr>
          <w:rFonts w:ascii="宋体" w:hAnsi="宋体" w:cs="宋体"/>
          <w:sz w:val="24"/>
          <w:highlight w:val="none"/>
          <w:u w:val="single"/>
        </w:rPr>
      </w:pPr>
      <w:r>
        <w:rPr>
          <w:rFonts w:hint="eastAsia" w:ascii="宋体" w:hAnsi="宋体" w:cs="宋体"/>
          <w:sz w:val="24"/>
          <w:highlight w:val="none"/>
        </w:rPr>
        <w:t>谈判响应单位名称：</w:t>
      </w:r>
    </w:p>
    <w:p>
      <w:pPr>
        <w:snapToGrid w:val="0"/>
        <w:spacing w:line="360" w:lineRule="auto"/>
        <w:rPr>
          <w:rFonts w:ascii="宋体" w:hAnsi="宋体" w:cs="宋体"/>
          <w:sz w:val="24"/>
          <w:highlight w:val="none"/>
        </w:rPr>
      </w:pPr>
      <w:r>
        <w:rPr>
          <w:rFonts w:hint="eastAsia" w:ascii="宋体" w:hAnsi="宋体" w:cs="宋体"/>
          <w:sz w:val="24"/>
          <w:highlight w:val="none"/>
        </w:rPr>
        <w:t>法人或被授权人（签字或盖章）：</w:t>
      </w:r>
    </w:p>
    <w:p>
      <w:pPr>
        <w:snapToGrid w:val="0"/>
        <w:spacing w:line="360" w:lineRule="auto"/>
        <w:rPr>
          <w:highlight w:val="none"/>
        </w:rPr>
      </w:pPr>
      <w:r>
        <w:rPr>
          <w:rFonts w:hint="eastAsia" w:ascii="宋体" w:hAnsi="宋体" w:cs="宋体"/>
          <w:sz w:val="24"/>
          <w:highlight w:val="none"/>
        </w:rPr>
        <w:t>日期：</w:t>
      </w:r>
    </w:p>
    <w:p>
      <w:pPr>
        <w:pStyle w:val="28"/>
        <w:jc w:val="both"/>
        <w:rPr>
          <w:rFonts w:ascii="宋体" w:hAnsi="宋体"/>
          <w:b/>
          <w:sz w:val="28"/>
          <w:szCs w:val="28"/>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pStyle w:val="30"/>
      <w:lvlText w:val="第%1章"/>
      <w:lvlJc w:val="left"/>
      <w:pPr>
        <w:tabs>
          <w:tab w:val="left" w:pos="4140"/>
        </w:tabs>
        <w:ind w:left="4140" w:hanging="1080"/>
      </w:pPr>
      <w:rPr>
        <w:rFonts w:hint="default"/>
      </w:rPr>
    </w:lvl>
    <w:lvl w:ilvl="1" w:tentative="0">
      <w:start w:val="1"/>
      <w:numFmt w:val="japaneseCounting"/>
      <w:lvlText w:val="%2、"/>
      <w:lvlJc w:val="left"/>
      <w:pPr>
        <w:tabs>
          <w:tab w:val="left" w:pos="4200"/>
        </w:tabs>
        <w:ind w:left="4200" w:hanging="720"/>
      </w:pPr>
      <w:rPr>
        <w:rFonts w:hint="default" w:cs="Times New Roman"/>
      </w:rPr>
    </w:lvl>
    <w:lvl w:ilvl="2" w:tentative="0">
      <w:start w:val="1"/>
      <w:numFmt w:val="lowerRoman"/>
      <w:lvlText w:val="%3."/>
      <w:lvlJc w:val="right"/>
      <w:pPr>
        <w:tabs>
          <w:tab w:val="left" w:pos="4320"/>
        </w:tabs>
        <w:ind w:left="4320" w:hanging="420"/>
      </w:pPr>
    </w:lvl>
    <w:lvl w:ilvl="3" w:tentative="0">
      <w:start w:val="1"/>
      <w:numFmt w:val="decimal"/>
      <w:lvlText w:val="%4."/>
      <w:lvlJc w:val="left"/>
      <w:pPr>
        <w:tabs>
          <w:tab w:val="left" w:pos="4740"/>
        </w:tabs>
        <w:ind w:left="4740" w:hanging="420"/>
      </w:pPr>
    </w:lvl>
    <w:lvl w:ilvl="4" w:tentative="0">
      <w:start w:val="1"/>
      <w:numFmt w:val="lowerLetter"/>
      <w:lvlText w:val="%5)"/>
      <w:lvlJc w:val="left"/>
      <w:pPr>
        <w:tabs>
          <w:tab w:val="left" w:pos="5160"/>
        </w:tabs>
        <w:ind w:left="5160" w:hanging="420"/>
      </w:pPr>
    </w:lvl>
    <w:lvl w:ilvl="5" w:tentative="0">
      <w:start w:val="1"/>
      <w:numFmt w:val="lowerRoman"/>
      <w:lvlText w:val="%6."/>
      <w:lvlJc w:val="right"/>
      <w:pPr>
        <w:tabs>
          <w:tab w:val="left" w:pos="5580"/>
        </w:tabs>
        <w:ind w:left="5580" w:hanging="420"/>
      </w:pPr>
    </w:lvl>
    <w:lvl w:ilvl="6" w:tentative="0">
      <w:start w:val="1"/>
      <w:numFmt w:val="decimal"/>
      <w:lvlText w:val="%7."/>
      <w:lvlJc w:val="left"/>
      <w:pPr>
        <w:tabs>
          <w:tab w:val="left" w:pos="6000"/>
        </w:tabs>
        <w:ind w:left="6000" w:hanging="420"/>
      </w:pPr>
    </w:lvl>
    <w:lvl w:ilvl="7" w:tentative="0">
      <w:start w:val="1"/>
      <w:numFmt w:val="lowerLetter"/>
      <w:lvlText w:val="%8)"/>
      <w:lvlJc w:val="left"/>
      <w:pPr>
        <w:tabs>
          <w:tab w:val="left" w:pos="6420"/>
        </w:tabs>
        <w:ind w:left="6420" w:hanging="420"/>
      </w:pPr>
    </w:lvl>
    <w:lvl w:ilvl="8" w:tentative="0">
      <w:start w:val="1"/>
      <w:numFmt w:val="lowerRoman"/>
      <w:lvlText w:val="%9."/>
      <w:lvlJc w:val="right"/>
      <w:pPr>
        <w:tabs>
          <w:tab w:val="left" w:pos="6840"/>
        </w:tabs>
        <w:ind w:left="6840" w:hanging="420"/>
      </w:pPr>
    </w:lvl>
  </w:abstractNum>
  <w:abstractNum w:abstractNumId="1">
    <w:nsid w:val="2323379E"/>
    <w:multiLevelType w:val="multilevel"/>
    <w:tmpl w:val="2323379E"/>
    <w:lvl w:ilvl="0" w:tentative="0">
      <w:start w:val="1"/>
      <w:numFmt w:val="chineseCountingThousand"/>
      <w:pStyle w:val="19"/>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129C0A"/>
    <w:multiLevelType w:val="singleLevel"/>
    <w:tmpl w:val="59129C0A"/>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YzYzc4NGE0OTdiNDI0MDg5ZmZjMWRjMzk5N2QzMmIifQ=="/>
  </w:docVars>
  <w:rsids>
    <w:rsidRoot w:val="5B90458F"/>
    <w:rsid w:val="000C3296"/>
    <w:rsid w:val="00430306"/>
    <w:rsid w:val="00473459"/>
    <w:rsid w:val="0051307F"/>
    <w:rsid w:val="0058013C"/>
    <w:rsid w:val="005E3F8A"/>
    <w:rsid w:val="006B1902"/>
    <w:rsid w:val="008F555F"/>
    <w:rsid w:val="00901618"/>
    <w:rsid w:val="00DB7209"/>
    <w:rsid w:val="00DC2332"/>
    <w:rsid w:val="00F0519C"/>
    <w:rsid w:val="02163C7D"/>
    <w:rsid w:val="05A30A88"/>
    <w:rsid w:val="08994572"/>
    <w:rsid w:val="09CB7B9E"/>
    <w:rsid w:val="0AE67CE6"/>
    <w:rsid w:val="0E397EB5"/>
    <w:rsid w:val="0EDC3E59"/>
    <w:rsid w:val="0F70538E"/>
    <w:rsid w:val="184F6520"/>
    <w:rsid w:val="1AA72DAE"/>
    <w:rsid w:val="1B9D716B"/>
    <w:rsid w:val="1CE3314E"/>
    <w:rsid w:val="206E4C59"/>
    <w:rsid w:val="21AD23B5"/>
    <w:rsid w:val="22E047CB"/>
    <w:rsid w:val="23BF324B"/>
    <w:rsid w:val="23E24288"/>
    <w:rsid w:val="24317DC9"/>
    <w:rsid w:val="24F97812"/>
    <w:rsid w:val="25384A40"/>
    <w:rsid w:val="260B2A7B"/>
    <w:rsid w:val="2734560A"/>
    <w:rsid w:val="2A886118"/>
    <w:rsid w:val="2B4966DB"/>
    <w:rsid w:val="2CD23AFF"/>
    <w:rsid w:val="2D6440FF"/>
    <w:rsid w:val="2FA9671D"/>
    <w:rsid w:val="2FD3675A"/>
    <w:rsid w:val="347D07F4"/>
    <w:rsid w:val="34E470CC"/>
    <w:rsid w:val="37F54356"/>
    <w:rsid w:val="38571D22"/>
    <w:rsid w:val="39861BE1"/>
    <w:rsid w:val="3FA41A6E"/>
    <w:rsid w:val="42C25B6C"/>
    <w:rsid w:val="44C6132B"/>
    <w:rsid w:val="44EB7A5F"/>
    <w:rsid w:val="4A1334C2"/>
    <w:rsid w:val="4D9A3B03"/>
    <w:rsid w:val="4E262AF8"/>
    <w:rsid w:val="51B34233"/>
    <w:rsid w:val="53DA15B2"/>
    <w:rsid w:val="54723481"/>
    <w:rsid w:val="55B34D33"/>
    <w:rsid w:val="565A1E0E"/>
    <w:rsid w:val="598A5F6E"/>
    <w:rsid w:val="5B90458F"/>
    <w:rsid w:val="61700179"/>
    <w:rsid w:val="61AF192B"/>
    <w:rsid w:val="65025298"/>
    <w:rsid w:val="68285169"/>
    <w:rsid w:val="697C71D2"/>
    <w:rsid w:val="726C6DD3"/>
    <w:rsid w:val="775E3B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3" w:lineRule="auto"/>
      <w:outlineLvl w:val="1"/>
    </w:pPr>
    <w:rPr>
      <w:rFonts w:hint="eastAsia" w:ascii="Arial" w:hAnsi="Arial" w:eastAsia="黑体"/>
      <w:b/>
      <w:sz w:val="32"/>
    </w:rPr>
  </w:style>
  <w:style w:type="paragraph" w:styleId="10">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autoRedefine/>
    <w:qFormat/>
    <w:uiPriority w:val="0"/>
    <w:pPr>
      <w:ind w:firstLine="480" w:firstLineChars="200"/>
    </w:pPr>
    <w:rPr>
      <w:rFonts w:hint="eastAsia" w:ascii="Arial" w:hAnsi="Arial" w:cs="宋体"/>
      <w:szCs w:val="20"/>
    </w:rPr>
  </w:style>
  <w:style w:type="paragraph" w:styleId="5">
    <w:name w:val="Normal Indent"/>
    <w:basedOn w:val="1"/>
    <w:next w:val="6"/>
    <w:autoRedefine/>
    <w:unhideWhenUsed/>
    <w:qFormat/>
    <w:uiPriority w:val="99"/>
    <w:pPr>
      <w:ind w:firstLine="420" w:firstLineChars="200"/>
    </w:pPr>
  </w:style>
  <w:style w:type="paragraph" w:styleId="6">
    <w:name w:val="Body Text First Indent 2"/>
    <w:basedOn w:val="7"/>
    <w:next w:val="1"/>
    <w:autoRedefine/>
    <w:qFormat/>
    <w:uiPriority w:val="99"/>
    <w:pPr>
      <w:ind w:left="420" w:firstLine="420" w:firstLineChars="200"/>
    </w:pPr>
  </w:style>
  <w:style w:type="paragraph" w:styleId="7">
    <w:name w:val="Body Text Indent"/>
    <w:basedOn w:val="1"/>
    <w:next w:val="8"/>
    <w:autoRedefine/>
    <w:qFormat/>
    <w:uiPriority w:val="0"/>
    <w:pPr>
      <w:ind w:firstLine="630"/>
    </w:pPr>
    <w:rPr>
      <w:sz w:val="32"/>
      <w:szCs w:val="20"/>
    </w:rPr>
  </w:style>
  <w:style w:type="paragraph" w:styleId="8">
    <w:name w:val="envelope return"/>
    <w:basedOn w:val="1"/>
    <w:next w:val="9"/>
    <w:autoRedefine/>
    <w:qFormat/>
    <w:uiPriority w:val="99"/>
    <w:pPr>
      <w:snapToGrid w:val="0"/>
    </w:pPr>
    <w:rPr>
      <w:rFonts w:ascii="Arial" w:hAnsi="Arial"/>
    </w:rPr>
  </w:style>
  <w:style w:type="paragraph" w:styleId="9">
    <w:name w:val="Body Text Indent 3"/>
    <w:basedOn w:val="1"/>
    <w:next w:val="1"/>
    <w:autoRedefine/>
    <w:qFormat/>
    <w:uiPriority w:val="0"/>
    <w:pPr>
      <w:spacing w:after="120"/>
      <w:ind w:left="420" w:leftChars="200"/>
    </w:pPr>
    <w:rPr>
      <w:sz w:val="16"/>
      <w:szCs w:val="16"/>
    </w:rPr>
  </w:style>
  <w:style w:type="paragraph" w:styleId="11">
    <w:name w:val="Body Text"/>
    <w:basedOn w:val="1"/>
    <w:autoRedefine/>
    <w:qFormat/>
    <w:uiPriority w:val="0"/>
    <w:pPr>
      <w:jc w:val="left"/>
    </w:pPr>
    <w:rPr>
      <w:rFonts w:ascii="Arial" w:hAnsi="Arial" w:eastAsia="黑体"/>
      <w:b/>
      <w:sz w:val="32"/>
      <w:szCs w:val="20"/>
    </w:rPr>
  </w:style>
  <w:style w:type="paragraph" w:styleId="12">
    <w:name w:val="Plain Text"/>
    <w:basedOn w:val="1"/>
    <w:autoRedefine/>
    <w:qFormat/>
    <w:uiPriority w:val="0"/>
    <w:rPr>
      <w:rFonts w:ascii="宋体" w:hAnsi="Courier New" w:cs="Courier New"/>
      <w:szCs w:val="21"/>
    </w:rPr>
  </w:style>
  <w:style w:type="paragraph" w:styleId="13">
    <w:name w:val="Body Text Indent 2"/>
    <w:basedOn w:val="1"/>
    <w:autoRedefine/>
    <w:qFormat/>
    <w:uiPriority w:val="0"/>
    <w:pPr>
      <w:spacing w:after="120" w:afterLines="0" w:line="480" w:lineRule="auto"/>
      <w:ind w:left="420" w:leftChars="200"/>
    </w:p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Autospacing="1" w:afterAutospacing="1"/>
      <w:jc w:val="left"/>
    </w:pPr>
    <w:rPr>
      <w:kern w:val="0"/>
      <w:sz w:val="24"/>
    </w:rPr>
  </w:style>
  <w:style w:type="paragraph" w:styleId="19">
    <w:name w:val="Title"/>
    <w:basedOn w:val="1"/>
    <w:next w:val="1"/>
    <w:autoRedefine/>
    <w:qFormat/>
    <w:uiPriority w:val="0"/>
    <w:pPr>
      <w:numPr>
        <w:ilvl w:val="0"/>
        <w:numId w:val="1"/>
      </w:numPr>
      <w:spacing w:line="360" w:lineRule="auto"/>
      <w:jc w:val="left"/>
      <w:outlineLvl w:val="0"/>
    </w:pPr>
    <w:rPr>
      <w:rFonts w:ascii="Cambria" w:hAnsi="Cambria"/>
      <w:b/>
      <w:bCs/>
      <w:sz w:val="28"/>
      <w:szCs w:val="32"/>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FollowedHyperlink"/>
    <w:basedOn w:val="22"/>
    <w:autoRedefine/>
    <w:qFormat/>
    <w:uiPriority w:val="0"/>
    <w:rPr>
      <w:color w:val="262626"/>
      <w:sz w:val="18"/>
      <w:szCs w:val="18"/>
      <w:u w:val="none"/>
    </w:rPr>
  </w:style>
  <w:style w:type="character" w:styleId="26">
    <w:name w:val="Hyperlink"/>
    <w:basedOn w:val="22"/>
    <w:qFormat/>
    <w:uiPriority w:val="0"/>
    <w:rPr>
      <w:color w:val="0000FF"/>
      <w:u w:val="single"/>
    </w:rPr>
  </w:style>
  <w:style w:type="paragraph" w:customStyle="1" w:styleId="27">
    <w:name w:val="列表段落1"/>
    <w:basedOn w:val="1"/>
    <w:qFormat/>
    <w:uiPriority w:val="34"/>
    <w:pPr>
      <w:ind w:firstLine="420" w:firstLineChars="200"/>
    </w:pPr>
    <w:rPr>
      <w:rFonts w:ascii="Calibri" w:hAnsi="Calibri"/>
      <w:szCs w:val="22"/>
    </w:rPr>
  </w:style>
  <w:style w:type="paragraph" w:customStyle="1" w:styleId="28">
    <w:name w:val="002标题"/>
    <w:basedOn w:val="1"/>
    <w:qFormat/>
    <w:uiPriority w:val="0"/>
    <w:pPr>
      <w:jc w:val="center"/>
    </w:pPr>
    <w:rPr>
      <w:sz w:val="30"/>
      <w:szCs w:val="30"/>
    </w:rPr>
  </w:style>
  <w:style w:type="paragraph" w:customStyle="1" w:styleId="2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001大标题"/>
    <w:basedOn w:val="1"/>
    <w:autoRedefine/>
    <w:qFormat/>
    <w:uiPriority w:val="0"/>
    <w:pPr>
      <w:numPr>
        <w:ilvl w:val="0"/>
        <w:numId w:val="2"/>
      </w:numPr>
      <w:tabs>
        <w:tab w:val="left" w:pos="1080"/>
        <w:tab w:val="clear" w:pos="4140"/>
      </w:tabs>
      <w:ind w:left="0" w:firstLine="0"/>
      <w:jc w:val="center"/>
    </w:pPr>
    <w:rPr>
      <w:rFonts w:ascii="宋体" w:hAnsi="宋体"/>
      <w:b/>
      <w:sz w:val="30"/>
      <w:szCs w:val="30"/>
    </w:rPr>
  </w:style>
  <w:style w:type="paragraph" w:customStyle="1" w:styleId="31">
    <w:name w:val="Body Text First Indent 21"/>
    <w:basedOn w:val="32"/>
    <w:autoRedefine/>
    <w:qFormat/>
    <w:uiPriority w:val="0"/>
    <w:pPr>
      <w:ind w:left="420" w:firstLine="420" w:firstLineChars="200"/>
    </w:pPr>
  </w:style>
  <w:style w:type="paragraph" w:customStyle="1" w:styleId="32">
    <w:name w:val="Body Text Indent1"/>
    <w:basedOn w:val="1"/>
    <w:next w:val="33"/>
    <w:autoRedefine/>
    <w:qFormat/>
    <w:uiPriority w:val="0"/>
    <w:pPr>
      <w:ind w:firstLine="630"/>
    </w:pPr>
    <w:rPr>
      <w:sz w:val="32"/>
      <w:szCs w:val="20"/>
    </w:rPr>
  </w:style>
  <w:style w:type="paragraph" w:customStyle="1" w:styleId="33">
    <w:name w:val="envelope return1"/>
    <w:basedOn w:val="1"/>
    <w:autoRedefine/>
    <w:qFormat/>
    <w:uiPriority w:val="0"/>
    <w:pPr>
      <w:snapToGrid w:val="0"/>
    </w:pPr>
    <w:rPr>
      <w:rFonts w:ascii="Arial" w:hAnsi="Arial"/>
    </w:rPr>
  </w:style>
  <w:style w:type="character" w:customStyle="1" w:styleId="34">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35">
    <w:name w:val="UserStyle_15"/>
    <w:autoRedefine/>
    <w:qFormat/>
    <w:uiPriority w:val="0"/>
    <w:pPr>
      <w:textAlignment w:val="baseline"/>
    </w:pPr>
    <w:rPr>
      <w:rFonts w:ascii="宋体" w:hAnsi="宋体" w:eastAsia="宋体" w:cstheme="minorBidi"/>
      <w:sz w:val="24"/>
      <w:szCs w:val="24"/>
      <w:lang w:val="en-US" w:eastAsia="zh-CN" w:bidi="ar-SA"/>
    </w:rPr>
  </w:style>
  <w:style w:type="paragraph" w:customStyle="1" w:styleId="36">
    <w:name w:val="TOC2"/>
    <w:basedOn w:val="1"/>
    <w:next w:val="1"/>
    <w:autoRedefine/>
    <w:semiHidden/>
    <w:qFormat/>
    <w:locked/>
    <w:uiPriority w:val="0"/>
    <w:pPr>
      <w:ind w:left="420" w:leftChars="200"/>
    </w:pPr>
  </w:style>
  <w:style w:type="paragraph" w:customStyle="1" w:styleId="37">
    <w:name w:val="图标题"/>
    <w:autoRedefine/>
    <w:qFormat/>
    <w:uiPriority w:val="0"/>
    <w:pPr>
      <w:spacing w:afterLines="50"/>
      <w:jc w:val="center"/>
    </w:pPr>
    <w:rPr>
      <w:rFonts w:ascii="宋体" w:hAnsi="宋体" w:eastAsia="宋体" w:cs="Times New Roman"/>
      <w:b/>
      <w:sz w:val="21"/>
      <w:lang w:val="en-US" w:eastAsia="zh-CN" w:bidi="ar-SA"/>
    </w:rPr>
  </w:style>
  <w:style w:type="table" w:customStyle="1" w:styleId="38">
    <w:name w:val="Table Normal"/>
    <w:autoRedefine/>
    <w:unhideWhenUsed/>
    <w:qFormat/>
    <w:uiPriority w:val="0"/>
    <w:tblPr>
      <w:tblCellMar>
        <w:top w:w="0" w:type="dxa"/>
        <w:left w:w="0" w:type="dxa"/>
        <w:bottom w:w="0" w:type="dxa"/>
        <w:right w:w="0" w:type="dxa"/>
      </w:tblCellMar>
    </w:tblPr>
  </w:style>
  <w:style w:type="paragraph" w:styleId="39">
    <w:name w:val="List Paragraph"/>
    <w:basedOn w:val="1"/>
    <w:qFormat/>
    <w:uiPriority w:val="0"/>
    <w:pPr>
      <w:ind w:firstLine="420" w:firstLineChars="200"/>
    </w:pPr>
    <w:rPr>
      <w:rFonts w:ascii="Calibri" w:hAnsi="Calibri" w:eastAsiaTheme="minorEastAsia" w:cstheme="minorBidi"/>
      <w:sz w:val="24"/>
      <w:szCs w:val="21"/>
    </w:rPr>
  </w:style>
  <w:style w:type="paragraph" w:customStyle="1" w:styleId="40">
    <w:name w:val="BodyText1I2"/>
    <w:basedOn w:val="41"/>
    <w:autoRedefine/>
    <w:qFormat/>
    <w:uiPriority w:val="0"/>
    <w:pPr>
      <w:ind w:left="420" w:firstLine="420" w:firstLineChars="200"/>
    </w:pPr>
  </w:style>
  <w:style w:type="paragraph" w:customStyle="1" w:styleId="41">
    <w:name w:val="BodyTextIndent"/>
    <w:basedOn w:val="1"/>
    <w:next w:val="42"/>
    <w:autoRedefine/>
    <w:qFormat/>
    <w:uiPriority w:val="0"/>
    <w:pPr>
      <w:ind w:firstLine="630"/>
    </w:pPr>
    <w:rPr>
      <w:sz w:val="32"/>
      <w:szCs w:val="20"/>
    </w:rPr>
  </w:style>
  <w:style w:type="paragraph" w:customStyle="1" w:styleId="42">
    <w:name w:val="EnvelopeReturn"/>
    <w:basedOn w:val="1"/>
    <w:qFormat/>
    <w:uiPriority w:val="0"/>
    <w:pPr>
      <w:snapToGrid w:val="0"/>
    </w:pPr>
    <w:rPr>
      <w:rFonts w:ascii="Arial" w:hAnsi="Arial"/>
    </w:rPr>
  </w:style>
  <w:style w:type="paragraph" w:customStyle="1" w:styleId="43">
    <w:name w:val="toc 511"/>
    <w:next w:val="1"/>
    <w:qFormat/>
    <w:uiPriority w:val="99"/>
    <w:pPr>
      <w:wordWrap w:val="0"/>
      <w:spacing w:line="360" w:lineRule="auto"/>
      <w:ind w:left="1700"/>
      <w:jc w:val="both"/>
    </w:pPr>
    <w:rPr>
      <w:rFonts w:ascii="Calibri" w:hAnsi="Calibri" w:eastAsia="Calibri" w:cs="Times New Roman"/>
      <w:sz w:val="21"/>
      <w:szCs w:val="21"/>
      <w:lang w:val="en-US" w:eastAsia="zh-CN" w:bidi="ar-SA"/>
    </w:rPr>
  </w:style>
  <w:style w:type="paragraph" w:customStyle="1" w:styleId="44">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
    <w:name w:val="02标题二"/>
    <w:basedOn w:val="1"/>
    <w:autoRedefine/>
    <w:qFormat/>
    <w:uiPriority w:val="0"/>
    <w:pPr>
      <w:adjustRightInd/>
      <w:ind w:firstLine="562" w:firstLineChars="200"/>
      <w:jc w:val="both"/>
    </w:pPr>
    <w:rPr>
      <w:rFonts w:cs="华文仿宋"/>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1642</Words>
  <Characters>9363</Characters>
  <Lines>78</Lines>
  <Paragraphs>21</Paragraphs>
  <TotalTime>1</TotalTime>
  <ScaleCrop>false</ScaleCrop>
  <LinksUpToDate>false</LinksUpToDate>
  <CharactersWithSpaces>10984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2023-12-13T07:09:00Z</dcterms:created>
  <dc:creator>啊圆呀~</dc:creator>
  <cp:lastModifiedBy>俞洋</cp:lastModifiedBy>
  <cp:lastPrinted>2021-11-24T02:55:00Z</cp:lastPrinted>
  <dcterms:modified xsi:type="dcterms:W3CDTF">2024-04-15T06:33:26Z</dcterms:modified>
  <dc:title>铜陵学院信息化配套专用设备采购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00EDA9E5BEEF42C4A4FB58D0280F3AA8</vt:lpwstr>
  </property>
</Properties>
</file>